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77811" w14:textId="114EEBEB" w:rsidR="003D4AAF" w:rsidRPr="00235B59" w:rsidRDefault="00854BBE" w:rsidP="00C114E5">
      <w:pPr>
        <w:keepNext/>
        <w:keepLines/>
        <w:ind w:left="10348"/>
        <w:jc w:val="right"/>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        </w:t>
      </w:r>
      <w:r w:rsidR="006D09CB">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       </w:t>
      </w:r>
      <w:r w:rsidR="00DF789D" w:rsidRPr="00235B59">
        <w:rPr>
          <w:rFonts w:ascii="Times New Roman" w:eastAsia="Times New Roman" w:hAnsi="Times New Roman" w:cs="Times New Roman"/>
          <w:sz w:val="28"/>
          <w:szCs w:val="24"/>
          <w:lang w:val="uk-UA"/>
        </w:rPr>
        <w:t xml:space="preserve">Додаток до листа </w:t>
      </w:r>
    </w:p>
    <w:p w14:paraId="475AE10E" w14:textId="77777777" w:rsidR="00DF789D" w:rsidRPr="00C95B3C" w:rsidRDefault="00DF789D">
      <w:pPr>
        <w:keepNext/>
        <w:keepLines/>
        <w:rPr>
          <w:rFonts w:ascii="Times New Roman" w:eastAsia="Times New Roman" w:hAnsi="Times New Roman" w:cs="Times New Roman"/>
          <w:b/>
          <w:sz w:val="24"/>
          <w:szCs w:val="24"/>
          <w:lang w:val="uk-UA"/>
        </w:rPr>
      </w:pPr>
    </w:p>
    <w:p w14:paraId="35C7F581" w14:textId="2AA229CC" w:rsidR="006D09CB" w:rsidRDefault="00566CCE" w:rsidP="00CC187F">
      <w:pPr>
        <w:keepNext/>
        <w:keepLines/>
        <w:rPr>
          <w:rStyle w:val="fontstyle01"/>
          <w:lang w:val="uk-UA"/>
        </w:rPr>
      </w:pPr>
      <w:r w:rsidRPr="006D09CB">
        <w:rPr>
          <w:rFonts w:ascii="Times New Roman" w:eastAsia="Times New Roman" w:hAnsi="Times New Roman" w:cs="Times New Roman"/>
          <w:b/>
          <w:sz w:val="28"/>
          <w:szCs w:val="28"/>
          <w:lang w:val="uk-UA"/>
        </w:rPr>
        <w:t>Звіт</w:t>
      </w:r>
      <w:r w:rsidR="00E027B1" w:rsidRPr="006D09CB">
        <w:rPr>
          <w:rFonts w:ascii="Times New Roman" w:eastAsia="Times New Roman" w:hAnsi="Times New Roman" w:cs="Times New Roman"/>
          <w:b/>
          <w:sz w:val="28"/>
          <w:szCs w:val="28"/>
          <w:lang w:val="uk-UA"/>
        </w:rPr>
        <w:t xml:space="preserve"> про стан виконання плану заходів на </w:t>
      </w:r>
      <w:r w:rsidR="003A10E9">
        <w:rPr>
          <w:rFonts w:ascii="Times New Roman" w:eastAsia="Times New Roman" w:hAnsi="Times New Roman" w:cs="Times New Roman"/>
          <w:b/>
          <w:sz w:val="28"/>
          <w:szCs w:val="28"/>
          <w:lang w:val="uk-UA"/>
        </w:rPr>
        <w:t>І</w:t>
      </w:r>
      <w:r w:rsidR="00F26B54" w:rsidRPr="006D09CB">
        <w:rPr>
          <w:rFonts w:ascii="Times New Roman" w:eastAsia="Times New Roman" w:hAnsi="Times New Roman" w:cs="Times New Roman"/>
          <w:b/>
          <w:sz w:val="28"/>
          <w:szCs w:val="28"/>
          <w:lang w:val="uk-UA"/>
        </w:rPr>
        <w:t>ІІ</w:t>
      </w:r>
      <w:r w:rsidR="00E027B1" w:rsidRPr="006D09CB">
        <w:rPr>
          <w:rFonts w:ascii="Times New Roman" w:eastAsia="Times New Roman" w:hAnsi="Times New Roman" w:cs="Times New Roman"/>
          <w:b/>
          <w:sz w:val="28"/>
          <w:szCs w:val="28"/>
          <w:lang w:val="uk-UA"/>
        </w:rPr>
        <w:t xml:space="preserve"> квартал 2023 р</w:t>
      </w:r>
      <w:r w:rsidR="006D09CB">
        <w:rPr>
          <w:rFonts w:ascii="Times New Roman" w:eastAsia="Times New Roman" w:hAnsi="Times New Roman" w:cs="Times New Roman"/>
          <w:b/>
          <w:sz w:val="28"/>
          <w:szCs w:val="28"/>
          <w:lang w:val="uk-UA"/>
        </w:rPr>
        <w:t>оку</w:t>
      </w:r>
      <w:r w:rsidR="00E027B1" w:rsidRPr="006D09CB">
        <w:rPr>
          <w:rFonts w:ascii="Times New Roman" w:eastAsia="Times New Roman" w:hAnsi="Times New Roman" w:cs="Times New Roman"/>
          <w:b/>
          <w:sz w:val="28"/>
          <w:szCs w:val="28"/>
          <w:lang w:val="uk-UA"/>
        </w:rPr>
        <w:t xml:space="preserve"> </w:t>
      </w:r>
      <w:r w:rsidR="00E027B1" w:rsidRPr="006D09CB">
        <w:rPr>
          <w:rFonts w:ascii="Times New Roman" w:eastAsia="Times New Roman" w:hAnsi="Times New Roman" w:cs="Times New Roman"/>
          <w:b/>
          <w:sz w:val="28"/>
          <w:szCs w:val="28"/>
          <w:lang w:val="uk-UA"/>
        </w:rPr>
        <w:br/>
        <w:t xml:space="preserve">з реалізації </w:t>
      </w:r>
      <w:r w:rsidR="00CC187F" w:rsidRPr="006D09CB">
        <w:rPr>
          <w:rStyle w:val="fontstyle01"/>
          <w:lang w:val="uk-UA"/>
        </w:rPr>
        <w:t xml:space="preserve">Регіонального плану заходів на 2023-2024 роки з реалізації </w:t>
      </w:r>
    </w:p>
    <w:p w14:paraId="0CF5A171" w14:textId="3A464B6A" w:rsidR="003D4AAF" w:rsidRPr="006D09CB" w:rsidRDefault="00CC187F" w:rsidP="00CC187F">
      <w:pPr>
        <w:keepNext/>
        <w:keepLines/>
        <w:rPr>
          <w:rStyle w:val="fontstyle01"/>
          <w:lang w:val="uk-UA"/>
        </w:rPr>
      </w:pPr>
      <w:r w:rsidRPr="006D09CB">
        <w:rPr>
          <w:rStyle w:val="fontstyle01"/>
          <w:lang w:val="uk-UA"/>
        </w:rPr>
        <w:t>Національної стратегії із створення безбар’єрного простору в Україні на період до 2030 року</w:t>
      </w:r>
    </w:p>
    <w:p w14:paraId="2899F46E" w14:textId="77777777" w:rsidR="00235B59" w:rsidRPr="00C95B3C" w:rsidRDefault="00235B59" w:rsidP="00CC187F">
      <w:pPr>
        <w:keepNext/>
        <w:keepLines/>
        <w:rPr>
          <w:rFonts w:ascii="Times New Roman" w:eastAsia="Times New Roman" w:hAnsi="Times New Roman" w:cs="Times New Roman"/>
          <w:sz w:val="24"/>
          <w:szCs w:val="24"/>
          <w:lang w:val="uk-UA"/>
        </w:rPr>
      </w:pPr>
    </w:p>
    <w:tbl>
      <w:tblPr>
        <w:tblStyle w:val="a5"/>
        <w:tblW w:w="147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43"/>
        <w:gridCol w:w="2329"/>
        <w:gridCol w:w="1418"/>
        <w:gridCol w:w="1418"/>
        <w:gridCol w:w="1558"/>
        <w:gridCol w:w="5471"/>
      </w:tblGrid>
      <w:tr w:rsidR="003D4AAF" w:rsidRPr="006D09CB" w14:paraId="360C7EC9" w14:textId="77777777" w:rsidTr="00E90D14">
        <w:trPr>
          <w:trHeight w:val="555"/>
        </w:trPr>
        <w:tc>
          <w:tcPr>
            <w:tcW w:w="2543" w:type="dxa"/>
            <w:shd w:val="clear" w:color="auto" w:fill="auto"/>
            <w:tcMar>
              <w:top w:w="100" w:type="dxa"/>
              <w:left w:w="100" w:type="dxa"/>
              <w:bottom w:w="100" w:type="dxa"/>
              <w:right w:w="100" w:type="dxa"/>
            </w:tcMar>
          </w:tcPr>
          <w:p w14:paraId="463F13EA" w14:textId="77777777" w:rsidR="003D4AAF" w:rsidRPr="006D09CB" w:rsidRDefault="00E027B1">
            <w:pPr>
              <w:ind w:right="40"/>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Захід</w:t>
            </w:r>
          </w:p>
        </w:tc>
        <w:tc>
          <w:tcPr>
            <w:tcW w:w="2329" w:type="dxa"/>
            <w:shd w:val="clear" w:color="auto" w:fill="auto"/>
            <w:tcMar>
              <w:top w:w="100" w:type="dxa"/>
              <w:left w:w="100" w:type="dxa"/>
              <w:bottom w:w="100" w:type="dxa"/>
              <w:right w:w="100" w:type="dxa"/>
            </w:tcMar>
          </w:tcPr>
          <w:p w14:paraId="7CEBC3C2" w14:textId="77777777" w:rsidR="003D4AAF" w:rsidRPr="006D09CB" w:rsidRDefault="00E027B1">
            <w:pPr>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Виконавець</w:t>
            </w:r>
          </w:p>
        </w:tc>
        <w:tc>
          <w:tcPr>
            <w:tcW w:w="1418" w:type="dxa"/>
            <w:shd w:val="clear" w:color="auto" w:fill="auto"/>
            <w:tcMar>
              <w:top w:w="100" w:type="dxa"/>
              <w:left w:w="100" w:type="dxa"/>
              <w:bottom w:w="100" w:type="dxa"/>
              <w:right w:w="100" w:type="dxa"/>
            </w:tcMar>
          </w:tcPr>
          <w:p w14:paraId="7BC1DBD0" w14:textId="77777777" w:rsidR="003D4AAF" w:rsidRPr="006D09CB" w:rsidRDefault="00E027B1" w:rsidP="00C10BD1">
            <w:pPr>
              <w:ind w:left="-98"/>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Запланована дата завершення</w:t>
            </w:r>
          </w:p>
        </w:tc>
        <w:tc>
          <w:tcPr>
            <w:tcW w:w="1418" w:type="dxa"/>
            <w:shd w:val="clear" w:color="auto" w:fill="auto"/>
            <w:tcMar>
              <w:top w:w="100" w:type="dxa"/>
              <w:left w:w="100" w:type="dxa"/>
              <w:bottom w:w="100" w:type="dxa"/>
              <w:right w:w="100" w:type="dxa"/>
            </w:tcMar>
          </w:tcPr>
          <w:p w14:paraId="571AC1F5" w14:textId="77777777" w:rsidR="003D4AAF" w:rsidRPr="006D09CB" w:rsidRDefault="00E027B1" w:rsidP="00C10BD1">
            <w:pPr>
              <w:ind w:left="-96"/>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Фактична дата завершення</w:t>
            </w:r>
          </w:p>
        </w:tc>
        <w:tc>
          <w:tcPr>
            <w:tcW w:w="1558" w:type="dxa"/>
            <w:shd w:val="clear" w:color="auto" w:fill="auto"/>
            <w:tcMar>
              <w:top w:w="100" w:type="dxa"/>
              <w:left w:w="100" w:type="dxa"/>
              <w:bottom w:w="100" w:type="dxa"/>
              <w:right w:w="100" w:type="dxa"/>
            </w:tcMar>
          </w:tcPr>
          <w:p w14:paraId="388FB689" w14:textId="77777777" w:rsidR="003D4AAF" w:rsidRPr="006D09CB" w:rsidRDefault="00E027B1">
            <w:pPr>
              <w:ind w:left="140" w:right="60"/>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Стан</w:t>
            </w:r>
          </w:p>
        </w:tc>
        <w:tc>
          <w:tcPr>
            <w:tcW w:w="5471" w:type="dxa"/>
            <w:shd w:val="clear" w:color="auto" w:fill="auto"/>
            <w:tcMar>
              <w:top w:w="100" w:type="dxa"/>
              <w:left w:w="100" w:type="dxa"/>
              <w:bottom w:w="100" w:type="dxa"/>
              <w:right w:w="100" w:type="dxa"/>
            </w:tcMar>
          </w:tcPr>
          <w:p w14:paraId="7C5A7A23" w14:textId="77777777" w:rsidR="003D4AAF" w:rsidRPr="006D09CB" w:rsidRDefault="00E027B1">
            <w:pPr>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Продукт або послуга, які з'явились в результаті виконання заходу</w:t>
            </w:r>
          </w:p>
        </w:tc>
      </w:tr>
      <w:tr w:rsidR="001A1953" w:rsidRPr="00965456" w14:paraId="64CF2C02" w14:textId="77777777" w:rsidTr="00965456">
        <w:trPr>
          <w:trHeight w:val="134"/>
        </w:trPr>
        <w:tc>
          <w:tcPr>
            <w:tcW w:w="2543" w:type="dxa"/>
            <w:shd w:val="clear" w:color="auto" w:fill="auto"/>
            <w:tcMar>
              <w:top w:w="100" w:type="dxa"/>
              <w:left w:w="100" w:type="dxa"/>
              <w:bottom w:w="100" w:type="dxa"/>
              <w:right w:w="100" w:type="dxa"/>
            </w:tcMar>
          </w:tcPr>
          <w:p w14:paraId="750CAD62" w14:textId="7AD82E1A" w:rsidR="001A1953" w:rsidRPr="00965456" w:rsidRDefault="001A1953" w:rsidP="00965456">
            <w:pPr>
              <w:widowControl w:val="0"/>
              <w:rPr>
                <w:rFonts w:ascii="Times New Roman" w:hAnsi="Times New Roman" w:cs="Times New Roman"/>
                <w:noProof/>
                <w:color w:val="000000"/>
                <w:sz w:val="24"/>
                <w:szCs w:val="24"/>
                <w:lang w:val="uk-UA"/>
              </w:rPr>
            </w:pPr>
            <w:bookmarkStart w:id="0" w:name="_Hlk139372903"/>
            <w:r w:rsidRPr="00965456">
              <w:rPr>
                <w:rFonts w:ascii="Times New Roman" w:hAnsi="Times New Roman" w:cs="Times New Roman"/>
                <w:noProof/>
                <w:color w:val="000000"/>
                <w:sz w:val="24"/>
                <w:szCs w:val="24"/>
                <w:lang w:val="uk-UA"/>
              </w:rPr>
              <w:t>1</w:t>
            </w:r>
          </w:p>
        </w:tc>
        <w:tc>
          <w:tcPr>
            <w:tcW w:w="2329" w:type="dxa"/>
            <w:shd w:val="clear" w:color="auto" w:fill="auto"/>
            <w:tcMar>
              <w:top w:w="100" w:type="dxa"/>
              <w:left w:w="100" w:type="dxa"/>
              <w:bottom w:w="100" w:type="dxa"/>
              <w:right w:w="100" w:type="dxa"/>
            </w:tcMar>
          </w:tcPr>
          <w:p w14:paraId="02648536" w14:textId="526D926E" w:rsidR="001A1953" w:rsidRPr="00965456" w:rsidRDefault="001A1953" w:rsidP="00965456">
            <w:pPr>
              <w:widowControl w:val="0"/>
              <w:rPr>
                <w:rFonts w:ascii="Times New Roman" w:hAnsi="Times New Roman" w:cs="Times New Roman"/>
                <w:noProof/>
                <w:color w:val="000000"/>
                <w:sz w:val="24"/>
                <w:szCs w:val="24"/>
                <w:lang w:val="uk-UA"/>
              </w:rPr>
            </w:pPr>
            <w:r w:rsidRPr="00965456">
              <w:rPr>
                <w:rFonts w:ascii="Times New Roman" w:hAnsi="Times New Roman" w:cs="Times New Roman"/>
                <w:noProof/>
                <w:color w:val="000000"/>
                <w:sz w:val="24"/>
                <w:szCs w:val="24"/>
                <w:lang w:val="uk-UA"/>
              </w:rPr>
              <w:t>2</w:t>
            </w:r>
          </w:p>
        </w:tc>
        <w:tc>
          <w:tcPr>
            <w:tcW w:w="1418" w:type="dxa"/>
            <w:shd w:val="clear" w:color="auto" w:fill="auto"/>
            <w:tcMar>
              <w:top w:w="100" w:type="dxa"/>
              <w:left w:w="100" w:type="dxa"/>
              <w:bottom w:w="100" w:type="dxa"/>
              <w:right w:w="100" w:type="dxa"/>
            </w:tcMar>
          </w:tcPr>
          <w:p w14:paraId="65571ECA" w14:textId="509770E2" w:rsidR="001A1953" w:rsidRPr="00965456" w:rsidRDefault="001A1953" w:rsidP="00965456">
            <w:pPr>
              <w:widowControl w:val="0"/>
              <w:rPr>
                <w:rFonts w:ascii="Times New Roman" w:hAnsi="Times New Roman" w:cs="Times New Roman"/>
                <w:noProof/>
                <w:color w:val="000000"/>
                <w:sz w:val="24"/>
                <w:szCs w:val="24"/>
                <w:lang w:val="uk-UA"/>
              </w:rPr>
            </w:pPr>
            <w:r w:rsidRPr="00965456">
              <w:rPr>
                <w:rFonts w:ascii="Times New Roman" w:hAnsi="Times New Roman" w:cs="Times New Roman"/>
                <w:noProof/>
                <w:color w:val="000000"/>
                <w:sz w:val="24"/>
                <w:szCs w:val="24"/>
                <w:lang w:val="uk-UA"/>
              </w:rPr>
              <w:t>3</w:t>
            </w:r>
          </w:p>
        </w:tc>
        <w:tc>
          <w:tcPr>
            <w:tcW w:w="1418" w:type="dxa"/>
            <w:shd w:val="clear" w:color="auto" w:fill="auto"/>
            <w:tcMar>
              <w:top w:w="100" w:type="dxa"/>
              <w:left w:w="100" w:type="dxa"/>
              <w:bottom w:w="100" w:type="dxa"/>
              <w:right w:w="100" w:type="dxa"/>
            </w:tcMar>
          </w:tcPr>
          <w:p w14:paraId="5A4511BC" w14:textId="5CD26FA8" w:rsidR="001A1953" w:rsidRPr="00965456" w:rsidRDefault="001A1953" w:rsidP="00965456">
            <w:pPr>
              <w:widowControl w:val="0"/>
              <w:rPr>
                <w:rFonts w:ascii="Times New Roman" w:hAnsi="Times New Roman" w:cs="Times New Roman"/>
                <w:noProof/>
                <w:color w:val="000000"/>
                <w:sz w:val="24"/>
                <w:szCs w:val="24"/>
                <w:lang w:val="uk-UA"/>
              </w:rPr>
            </w:pPr>
            <w:r w:rsidRPr="00965456">
              <w:rPr>
                <w:rFonts w:ascii="Times New Roman" w:hAnsi="Times New Roman" w:cs="Times New Roman"/>
                <w:noProof/>
                <w:color w:val="000000"/>
                <w:sz w:val="24"/>
                <w:szCs w:val="24"/>
                <w:lang w:val="uk-UA"/>
              </w:rPr>
              <w:t>4</w:t>
            </w:r>
          </w:p>
        </w:tc>
        <w:tc>
          <w:tcPr>
            <w:tcW w:w="1558" w:type="dxa"/>
            <w:shd w:val="clear" w:color="auto" w:fill="auto"/>
            <w:tcMar>
              <w:top w:w="100" w:type="dxa"/>
              <w:left w:w="100" w:type="dxa"/>
              <w:bottom w:w="100" w:type="dxa"/>
              <w:right w:w="100" w:type="dxa"/>
            </w:tcMar>
          </w:tcPr>
          <w:p w14:paraId="26C64EC9" w14:textId="10126CE8" w:rsidR="001A1953" w:rsidRPr="00965456" w:rsidRDefault="001A1953" w:rsidP="00965456">
            <w:pPr>
              <w:widowControl w:val="0"/>
              <w:rPr>
                <w:rFonts w:ascii="Times New Roman" w:hAnsi="Times New Roman" w:cs="Times New Roman"/>
                <w:noProof/>
                <w:color w:val="000000"/>
                <w:sz w:val="24"/>
                <w:szCs w:val="24"/>
                <w:lang w:val="uk-UA"/>
              </w:rPr>
            </w:pPr>
            <w:r w:rsidRPr="00965456">
              <w:rPr>
                <w:rFonts w:ascii="Times New Roman" w:hAnsi="Times New Roman" w:cs="Times New Roman"/>
                <w:noProof/>
                <w:color w:val="000000"/>
                <w:sz w:val="24"/>
                <w:szCs w:val="24"/>
                <w:lang w:val="uk-UA"/>
              </w:rPr>
              <w:t>5</w:t>
            </w:r>
          </w:p>
        </w:tc>
        <w:tc>
          <w:tcPr>
            <w:tcW w:w="5471" w:type="dxa"/>
            <w:shd w:val="clear" w:color="auto" w:fill="auto"/>
            <w:tcMar>
              <w:top w:w="100" w:type="dxa"/>
              <w:left w:w="100" w:type="dxa"/>
              <w:bottom w:w="100" w:type="dxa"/>
              <w:right w:w="100" w:type="dxa"/>
            </w:tcMar>
          </w:tcPr>
          <w:p w14:paraId="20C947AB" w14:textId="2DE8B0D6" w:rsidR="001A1953" w:rsidRPr="00965456" w:rsidRDefault="001A1953" w:rsidP="00965456">
            <w:pPr>
              <w:widowControl w:val="0"/>
              <w:rPr>
                <w:rFonts w:ascii="Times New Roman" w:hAnsi="Times New Roman" w:cs="Times New Roman"/>
                <w:noProof/>
                <w:color w:val="000000"/>
                <w:sz w:val="24"/>
                <w:szCs w:val="24"/>
                <w:lang w:val="uk-UA"/>
              </w:rPr>
            </w:pPr>
            <w:r w:rsidRPr="00965456">
              <w:rPr>
                <w:rFonts w:ascii="Times New Roman" w:hAnsi="Times New Roman" w:cs="Times New Roman"/>
                <w:noProof/>
                <w:color w:val="000000"/>
                <w:sz w:val="24"/>
                <w:szCs w:val="24"/>
                <w:lang w:val="uk-UA"/>
              </w:rPr>
              <w:t>6</w:t>
            </w:r>
          </w:p>
        </w:tc>
      </w:tr>
      <w:bookmarkEnd w:id="0"/>
      <w:tr w:rsidR="003D4AAF" w:rsidRPr="006D09CB" w14:paraId="04779AB8" w14:textId="77777777" w:rsidTr="00E90D14">
        <w:trPr>
          <w:trHeight w:val="474"/>
        </w:trPr>
        <w:tc>
          <w:tcPr>
            <w:tcW w:w="14737" w:type="dxa"/>
            <w:gridSpan w:val="6"/>
            <w:tcMar>
              <w:top w:w="100" w:type="dxa"/>
              <w:left w:w="100" w:type="dxa"/>
              <w:bottom w:w="100" w:type="dxa"/>
              <w:right w:w="100" w:type="dxa"/>
            </w:tcMar>
          </w:tcPr>
          <w:p w14:paraId="1868B86B" w14:textId="5D054E57" w:rsidR="00194B27" w:rsidRPr="006D09CB" w:rsidRDefault="00CC187F" w:rsidP="00C95B3C">
            <w:pPr>
              <w:widowControl w:val="0"/>
              <w:rPr>
                <w:rFonts w:ascii="Times New Roman" w:hAnsi="Times New Roman" w:cs="Times New Roman"/>
                <w:sz w:val="24"/>
                <w:szCs w:val="24"/>
                <w:lang w:val="uk-UA"/>
              </w:rPr>
            </w:pPr>
            <w:r w:rsidRPr="00F66D00">
              <w:rPr>
                <w:rStyle w:val="fontstyle01"/>
                <w:bCs w:val="0"/>
                <w:sz w:val="24"/>
                <w:szCs w:val="24"/>
                <w:lang w:val="uk-UA"/>
              </w:rPr>
              <w:t>Напрям І. Фізична безбар’єрність:</w:t>
            </w:r>
            <w:r w:rsidR="00C95B3C" w:rsidRPr="006D09CB">
              <w:rPr>
                <w:rStyle w:val="fontstyle01"/>
                <w:b w:val="0"/>
                <w:sz w:val="24"/>
                <w:szCs w:val="24"/>
                <w:lang w:val="uk-UA"/>
              </w:rPr>
              <w:t xml:space="preserve"> </w:t>
            </w:r>
            <w:r w:rsidRPr="006D09CB">
              <w:rPr>
                <w:rStyle w:val="fontstyle01"/>
                <w:b w:val="0"/>
                <w:sz w:val="24"/>
                <w:szCs w:val="24"/>
                <w:lang w:val="uk-UA"/>
              </w:rPr>
              <w:t>усі об’єкти фізичного оточення доступні для всіх соціальних груп незалежно від віку,</w:t>
            </w:r>
            <w:r w:rsidRPr="006D09CB">
              <w:rPr>
                <w:rFonts w:ascii="Times New Roman" w:hAnsi="Times New Roman" w:cs="Times New Roman"/>
                <w:bCs/>
                <w:color w:val="000000"/>
                <w:sz w:val="24"/>
                <w:szCs w:val="24"/>
                <w:lang w:val="uk-UA"/>
              </w:rPr>
              <w:br/>
            </w:r>
            <w:r w:rsidRPr="006D09CB">
              <w:rPr>
                <w:rStyle w:val="fontstyle01"/>
                <w:b w:val="0"/>
                <w:sz w:val="24"/>
                <w:szCs w:val="24"/>
                <w:lang w:val="uk-UA"/>
              </w:rPr>
              <w:t>стану здоров’я, інвалідності, майнового стану, статі, місця проживання та інших ознак</w:t>
            </w:r>
          </w:p>
        </w:tc>
      </w:tr>
      <w:tr w:rsidR="003D4AAF" w:rsidRPr="006D09CB" w14:paraId="2905E476" w14:textId="77777777" w:rsidTr="00E90D14">
        <w:trPr>
          <w:trHeight w:val="120"/>
        </w:trPr>
        <w:tc>
          <w:tcPr>
            <w:tcW w:w="14737" w:type="dxa"/>
            <w:gridSpan w:val="6"/>
            <w:tcMar>
              <w:top w:w="100" w:type="dxa"/>
              <w:left w:w="100" w:type="dxa"/>
              <w:bottom w:w="100" w:type="dxa"/>
              <w:right w:w="100" w:type="dxa"/>
            </w:tcMar>
          </w:tcPr>
          <w:p w14:paraId="7E255F9D" w14:textId="77777777" w:rsidR="004B58A6" w:rsidRPr="006D09CB" w:rsidRDefault="00CC187F" w:rsidP="00C95B3C">
            <w:pPr>
              <w:widowControl w:val="0"/>
              <w:rPr>
                <w:rStyle w:val="fontstyle01"/>
                <w:b w:val="0"/>
                <w:sz w:val="24"/>
                <w:szCs w:val="24"/>
                <w:lang w:val="uk-UA"/>
              </w:rPr>
            </w:pPr>
            <w:r w:rsidRPr="006D09CB">
              <w:rPr>
                <w:rStyle w:val="fontstyle01"/>
                <w:b w:val="0"/>
                <w:sz w:val="24"/>
                <w:szCs w:val="24"/>
                <w:lang w:val="uk-UA"/>
              </w:rPr>
              <w:t>Стратегічна ціль: системи моніторингу і контролю забезпечують застосування норм і стандартів</w:t>
            </w:r>
            <w:r w:rsidR="00C95B3C" w:rsidRPr="006D09CB">
              <w:rPr>
                <w:rStyle w:val="fontstyle01"/>
                <w:b w:val="0"/>
                <w:sz w:val="24"/>
                <w:szCs w:val="24"/>
                <w:lang w:val="uk-UA"/>
              </w:rPr>
              <w:t xml:space="preserve"> </w:t>
            </w:r>
          </w:p>
          <w:p w14:paraId="7B774102" w14:textId="0F60583A" w:rsidR="00194B27" w:rsidRPr="006D09CB" w:rsidRDefault="00CC187F" w:rsidP="00C95B3C">
            <w:pPr>
              <w:widowControl w:val="0"/>
              <w:rPr>
                <w:rFonts w:ascii="Times New Roman" w:hAnsi="Times New Roman" w:cs="Times New Roman"/>
                <w:b/>
                <w:sz w:val="24"/>
                <w:szCs w:val="24"/>
                <w:lang w:val="uk-UA"/>
              </w:rPr>
            </w:pPr>
            <w:r w:rsidRPr="006D09CB">
              <w:rPr>
                <w:rStyle w:val="fontstyle01"/>
                <w:b w:val="0"/>
                <w:sz w:val="24"/>
                <w:szCs w:val="24"/>
                <w:lang w:val="uk-UA"/>
              </w:rPr>
              <w:t>доступності об`єктів фізичного оточення і транспорту</w:t>
            </w:r>
          </w:p>
        </w:tc>
      </w:tr>
      <w:tr w:rsidR="003D4AAF" w:rsidRPr="006D09CB" w14:paraId="25B17C77" w14:textId="77777777" w:rsidTr="00E90D14">
        <w:trPr>
          <w:trHeight w:val="241"/>
        </w:trPr>
        <w:tc>
          <w:tcPr>
            <w:tcW w:w="14737" w:type="dxa"/>
            <w:gridSpan w:val="6"/>
            <w:tcMar>
              <w:top w:w="100" w:type="dxa"/>
              <w:left w:w="100" w:type="dxa"/>
              <w:bottom w:w="100" w:type="dxa"/>
              <w:right w:w="100" w:type="dxa"/>
            </w:tcMar>
          </w:tcPr>
          <w:p w14:paraId="621A4AB9" w14:textId="2719A226" w:rsidR="003D4AAF" w:rsidRPr="006D09CB" w:rsidRDefault="00CC187F" w:rsidP="00C95B3C">
            <w:pPr>
              <w:widowControl w:val="0"/>
              <w:rPr>
                <w:rFonts w:ascii="Times New Roman" w:hAnsi="Times New Roman" w:cs="Times New Roman"/>
                <w:sz w:val="24"/>
                <w:szCs w:val="24"/>
                <w:lang w:val="uk-UA"/>
              </w:rPr>
            </w:pPr>
            <w:bookmarkStart w:id="1" w:name="_Hlk139452885"/>
            <w:r w:rsidRPr="006D09CB">
              <w:rPr>
                <w:rFonts w:ascii="Times New Roman" w:hAnsi="Times New Roman" w:cs="Times New Roman"/>
                <w:noProof/>
                <w:color w:val="000000"/>
                <w:sz w:val="24"/>
                <w:szCs w:val="24"/>
                <w:lang w:val="uk-UA"/>
              </w:rPr>
              <w:t>1</w:t>
            </w:r>
            <w:r w:rsidR="0032734E" w:rsidRPr="006D09CB">
              <w:rPr>
                <w:rFonts w:ascii="Times New Roman" w:hAnsi="Times New Roman" w:cs="Times New Roman"/>
                <w:noProof/>
                <w:color w:val="000000"/>
                <w:sz w:val="24"/>
                <w:szCs w:val="24"/>
                <w:lang w:val="uk-UA"/>
              </w:rPr>
              <w:t xml:space="preserve">. </w:t>
            </w:r>
            <w:r w:rsidRPr="006D09CB">
              <w:rPr>
                <w:rStyle w:val="fontstyle01"/>
                <w:b w:val="0"/>
                <w:sz w:val="24"/>
                <w:szCs w:val="24"/>
                <w:lang w:val="uk-UA"/>
              </w:rPr>
              <w:t>Розроблено інструментарій та</w:t>
            </w:r>
            <w:r w:rsidR="00C95B3C" w:rsidRPr="006D09CB">
              <w:rPr>
                <w:rFonts w:ascii="Times New Roman" w:hAnsi="Times New Roman" w:cs="Times New Roman"/>
                <w:color w:val="000000"/>
                <w:sz w:val="24"/>
                <w:szCs w:val="24"/>
                <w:lang w:val="uk-UA"/>
              </w:rPr>
              <w:t xml:space="preserve"> </w:t>
            </w:r>
            <w:r w:rsidRPr="006D09CB">
              <w:rPr>
                <w:rStyle w:val="fontstyle01"/>
                <w:b w:val="0"/>
                <w:sz w:val="24"/>
                <w:szCs w:val="24"/>
                <w:lang w:val="uk-UA"/>
              </w:rPr>
              <w:t>забезпечено</w:t>
            </w:r>
            <w:r w:rsidR="00C95B3C" w:rsidRPr="006D09CB">
              <w:rPr>
                <w:rStyle w:val="fontstyle01"/>
                <w:b w:val="0"/>
                <w:sz w:val="24"/>
                <w:szCs w:val="24"/>
                <w:lang w:val="uk-UA"/>
              </w:rPr>
              <w:t xml:space="preserve"> </w:t>
            </w:r>
            <w:r w:rsidRPr="006D09CB">
              <w:rPr>
                <w:rStyle w:val="fontstyle01"/>
                <w:b w:val="0"/>
                <w:sz w:val="24"/>
                <w:szCs w:val="24"/>
                <w:lang w:val="uk-UA"/>
              </w:rPr>
              <w:t>проведення</w:t>
            </w:r>
            <w:r w:rsidR="00C95B3C" w:rsidRPr="006D09CB">
              <w:rPr>
                <w:rFonts w:ascii="Times New Roman" w:hAnsi="Times New Roman" w:cs="Times New Roman"/>
                <w:color w:val="000000"/>
                <w:sz w:val="24"/>
                <w:szCs w:val="24"/>
                <w:lang w:val="uk-UA"/>
              </w:rPr>
              <w:t xml:space="preserve"> </w:t>
            </w:r>
            <w:r w:rsidRPr="006D09CB">
              <w:rPr>
                <w:rStyle w:val="fontstyle01"/>
                <w:b w:val="0"/>
                <w:sz w:val="24"/>
                <w:szCs w:val="24"/>
                <w:lang w:val="uk-UA"/>
              </w:rPr>
              <w:t>моніторингу</w:t>
            </w:r>
            <w:r w:rsidR="00C95B3C" w:rsidRPr="006D09CB">
              <w:rPr>
                <w:rStyle w:val="fontstyle01"/>
                <w:b w:val="0"/>
                <w:sz w:val="24"/>
                <w:szCs w:val="24"/>
                <w:lang w:val="uk-UA"/>
              </w:rPr>
              <w:t xml:space="preserve"> </w:t>
            </w:r>
            <w:r w:rsidRPr="006D09CB">
              <w:rPr>
                <w:rStyle w:val="fontstyle01"/>
                <w:b w:val="0"/>
                <w:sz w:val="24"/>
                <w:szCs w:val="24"/>
                <w:lang w:val="uk-UA"/>
              </w:rPr>
              <w:t>доступності об’єктів</w:t>
            </w:r>
            <w:r w:rsidR="00C95B3C" w:rsidRPr="006D09CB">
              <w:rPr>
                <w:rFonts w:ascii="Times New Roman" w:hAnsi="Times New Roman" w:cs="Times New Roman"/>
                <w:color w:val="000000"/>
                <w:sz w:val="24"/>
                <w:szCs w:val="24"/>
                <w:lang w:val="uk-UA"/>
              </w:rPr>
              <w:t xml:space="preserve"> </w:t>
            </w:r>
            <w:r w:rsidR="00C95B3C" w:rsidRPr="006D09CB">
              <w:rPr>
                <w:rStyle w:val="fontstyle01"/>
                <w:b w:val="0"/>
                <w:sz w:val="24"/>
                <w:szCs w:val="24"/>
                <w:lang w:val="uk-UA"/>
              </w:rPr>
              <w:t>фізи</w:t>
            </w:r>
            <w:r w:rsidRPr="006D09CB">
              <w:rPr>
                <w:rStyle w:val="fontstyle01"/>
                <w:b w:val="0"/>
                <w:sz w:val="24"/>
                <w:szCs w:val="24"/>
                <w:lang w:val="uk-UA"/>
              </w:rPr>
              <w:t>чного оточення,</w:t>
            </w:r>
            <w:r w:rsidR="00C95B3C" w:rsidRPr="006D09CB">
              <w:rPr>
                <w:rStyle w:val="fontstyle01"/>
                <w:b w:val="0"/>
                <w:sz w:val="24"/>
                <w:szCs w:val="24"/>
                <w:lang w:val="uk-UA"/>
              </w:rPr>
              <w:t xml:space="preserve"> </w:t>
            </w:r>
            <w:r w:rsidRPr="006D09CB">
              <w:rPr>
                <w:rStyle w:val="fontstyle01"/>
                <w:b w:val="0"/>
                <w:sz w:val="24"/>
                <w:szCs w:val="24"/>
                <w:lang w:val="uk-UA"/>
              </w:rPr>
              <w:t>транспорту</w:t>
            </w:r>
          </w:p>
        </w:tc>
      </w:tr>
      <w:tr w:rsidR="003D4AAF" w:rsidRPr="006D09CB" w14:paraId="2DAD5AC7" w14:textId="77777777" w:rsidTr="00E90D14">
        <w:trPr>
          <w:trHeight w:val="450"/>
        </w:trPr>
        <w:tc>
          <w:tcPr>
            <w:tcW w:w="2543" w:type="dxa"/>
            <w:shd w:val="clear" w:color="auto" w:fill="auto"/>
            <w:tcMar>
              <w:top w:w="100" w:type="dxa"/>
              <w:left w:w="100" w:type="dxa"/>
              <w:bottom w:w="100" w:type="dxa"/>
              <w:right w:w="100" w:type="dxa"/>
            </w:tcMar>
          </w:tcPr>
          <w:p w14:paraId="2500B23B" w14:textId="0BDE795C" w:rsidR="003D4AAF" w:rsidRPr="006D09CB" w:rsidRDefault="00C95B3C" w:rsidP="00F66D00">
            <w:pPr>
              <w:jc w:val="left"/>
              <w:rPr>
                <w:rFonts w:ascii="Times New Roman" w:eastAsia="Times New Roman" w:hAnsi="Times New Roman" w:cs="Times New Roman"/>
                <w:i/>
                <w:sz w:val="24"/>
                <w:szCs w:val="24"/>
                <w:lang w:val="uk-UA"/>
              </w:rPr>
            </w:pPr>
            <w:bookmarkStart w:id="2" w:name="_Hlk139360486"/>
            <w:bookmarkEnd w:id="1"/>
            <w:r w:rsidRPr="006D09CB">
              <w:rPr>
                <w:rFonts w:ascii="Times New Roman" w:hAnsi="Times New Roman" w:cs="Times New Roman"/>
                <w:noProof/>
                <w:sz w:val="24"/>
                <w:szCs w:val="24"/>
                <w:lang w:val="uk-UA"/>
              </w:rPr>
              <w:t>1) розробити</w:t>
            </w:r>
            <w:r w:rsidR="004C6514" w:rsidRPr="006D09CB">
              <w:rPr>
                <w:rFonts w:ascii="Times New Roman" w:hAnsi="Times New Roman" w:cs="Times New Roman"/>
                <w:noProof/>
                <w:sz w:val="24"/>
                <w:szCs w:val="24"/>
                <w:lang w:val="uk-UA"/>
              </w:rPr>
              <w:t xml:space="preserve"> індикатори для проведення щоквартального моніторингу облаштування приміщень центрів надання адміністративних послуг</w:t>
            </w:r>
            <w:r w:rsidR="002A4D9D" w:rsidRPr="006D09CB">
              <w:rPr>
                <w:rFonts w:ascii="Times New Roman" w:hAnsi="Times New Roman" w:cs="Times New Roman"/>
                <w:noProof/>
                <w:sz w:val="24"/>
                <w:szCs w:val="24"/>
                <w:lang w:val="uk-UA"/>
              </w:rPr>
              <w:t xml:space="preserve"> (далі – ЦНАП) </w:t>
            </w:r>
            <w:r w:rsidR="004C6514" w:rsidRPr="006D09CB">
              <w:rPr>
                <w:rFonts w:ascii="Times New Roman" w:hAnsi="Times New Roman" w:cs="Times New Roman"/>
                <w:noProof/>
                <w:sz w:val="24"/>
                <w:szCs w:val="24"/>
                <w:lang w:val="uk-UA"/>
              </w:rPr>
              <w:t xml:space="preserve">з </w:t>
            </w:r>
            <w:r w:rsidR="00C10BD1">
              <w:rPr>
                <w:rFonts w:ascii="Times New Roman" w:hAnsi="Times New Roman" w:cs="Times New Roman"/>
                <w:noProof/>
                <w:sz w:val="24"/>
                <w:szCs w:val="24"/>
                <w:lang w:val="uk-UA"/>
              </w:rPr>
              <w:t>в</w:t>
            </w:r>
            <w:r w:rsidR="004C6514" w:rsidRPr="006D09CB">
              <w:rPr>
                <w:rFonts w:ascii="Times New Roman" w:hAnsi="Times New Roman" w:cs="Times New Roman"/>
                <w:noProof/>
                <w:sz w:val="24"/>
                <w:szCs w:val="24"/>
                <w:lang w:val="uk-UA"/>
              </w:rPr>
              <w:t xml:space="preserve">рахуванням </w:t>
            </w:r>
            <w:r w:rsidRPr="006D09CB">
              <w:rPr>
                <w:rFonts w:ascii="Times New Roman" w:hAnsi="Times New Roman" w:cs="Times New Roman"/>
                <w:noProof/>
                <w:sz w:val="24"/>
                <w:szCs w:val="24"/>
                <w:lang w:val="uk-UA"/>
              </w:rPr>
              <w:t>потреб осіб з</w:t>
            </w:r>
            <w:r w:rsidR="004C6514" w:rsidRPr="006D09CB">
              <w:rPr>
                <w:rFonts w:ascii="Times New Roman" w:hAnsi="Times New Roman" w:cs="Times New Roman"/>
                <w:noProof/>
                <w:sz w:val="24"/>
                <w:szCs w:val="24"/>
                <w:lang w:val="uk-UA"/>
              </w:rPr>
              <w:t xml:space="preserve"> </w:t>
            </w:r>
            <w:r w:rsidRPr="006D09CB">
              <w:rPr>
                <w:rFonts w:ascii="Times New Roman" w:hAnsi="Times New Roman" w:cs="Times New Roman"/>
                <w:noProof/>
                <w:sz w:val="24"/>
                <w:szCs w:val="24"/>
                <w:lang w:val="uk-UA"/>
              </w:rPr>
              <w:t>інвалідністю</w:t>
            </w:r>
          </w:p>
        </w:tc>
        <w:tc>
          <w:tcPr>
            <w:tcW w:w="2329" w:type="dxa"/>
            <w:shd w:val="clear" w:color="auto" w:fill="auto"/>
            <w:tcMar>
              <w:top w:w="100" w:type="dxa"/>
              <w:left w:w="100" w:type="dxa"/>
              <w:bottom w:w="100" w:type="dxa"/>
              <w:right w:w="100" w:type="dxa"/>
            </w:tcMar>
          </w:tcPr>
          <w:p w14:paraId="0C609493" w14:textId="77777777" w:rsidR="00C95B3C" w:rsidRPr="006D09CB" w:rsidRDefault="00C95B3C" w:rsidP="00F66D00">
            <w:pPr>
              <w:jc w:val="left"/>
              <w:rPr>
                <w:rFonts w:ascii="Times New Roman" w:hAnsi="Times New Roman" w:cs="Times New Roman"/>
                <w:noProof/>
                <w:sz w:val="24"/>
                <w:szCs w:val="24"/>
                <w:lang w:val="uk-UA"/>
              </w:rPr>
            </w:pPr>
            <w:r w:rsidRPr="006D09CB">
              <w:rPr>
                <w:rFonts w:ascii="Times New Roman" w:hAnsi="Times New Roman" w:cs="Times New Roman"/>
                <w:noProof/>
                <w:sz w:val="24"/>
                <w:szCs w:val="24"/>
                <w:lang w:val="uk-UA"/>
              </w:rPr>
              <w:t>Департамент</w:t>
            </w:r>
          </w:p>
          <w:p w14:paraId="70308266" w14:textId="77777777" w:rsidR="00C95B3C" w:rsidRPr="006D09CB" w:rsidRDefault="00C95B3C" w:rsidP="00F66D00">
            <w:pPr>
              <w:jc w:val="left"/>
              <w:rPr>
                <w:rFonts w:ascii="Times New Roman" w:hAnsi="Times New Roman" w:cs="Times New Roman"/>
                <w:noProof/>
                <w:sz w:val="24"/>
                <w:szCs w:val="24"/>
                <w:lang w:val="uk-UA"/>
              </w:rPr>
            </w:pPr>
            <w:r w:rsidRPr="006D09CB">
              <w:rPr>
                <w:rFonts w:ascii="Times New Roman" w:hAnsi="Times New Roman" w:cs="Times New Roman"/>
                <w:noProof/>
                <w:sz w:val="24"/>
                <w:szCs w:val="24"/>
                <w:lang w:val="uk-UA"/>
              </w:rPr>
              <w:t>економічного</w:t>
            </w:r>
          </w:p>
          <w:p w14:paraId="10076956" w14:textId="77777777" w:rsidR="00C95B3C" w:rsidRPr="006D09CB" w:rsidRDefault="00C95B3C" w:rsidP="00F66D00">
            <w:pPr>
              <w:jc w:val="left"/>
              <w:rPr>
                <w:rFonts w:ascii="Times New Roman" w:hAnsi="Times New Roman" w:cs="Times New Roman"/>
                <w:noProof/>
                <w:sz w:val="24"/>
                <w:szCs w:val="24"/>
                <w:lang w:val="uk-UA"/>
              </w:rPr>
            </w:pPr>
            <w:r w:rsidRPr="006D09CB">
              <w:rPr>
                <w:rFonts w:ascii="Times New Roman" w:hAnsi="Times New Roman" w:cs="Times New Roman"/>
                <w:noProof/>
                <w:sz w:val="24"/>
                <w:szCs w:val="24"/>
                <w:lang w:val="uk-UA"/>
              </w:rPr>
              <w:t>розвитку та</w:t>
            </w:r>
          </w:p>
          <w:p w14:paraId="0760B979" w14:textId="70E269E1" w:rsidR="00C95B3C" w:rsidRPr="006D09CB" w:rsidRDefault="00C95B3C" w:rsidP="00F66D00">
            <w:pPr>
              <w:jc w:val="left"/>
              <w:rPr>
                <w:rFonts w:ascii="Times New Roman" w:hAnsi="Times New Roman" w:cs="Times New Roman"/>
                <w:noProof/>
                <w:sz w:val="24"/>
                <w:szCs w:val="24"/>
                <w:lang w:val="uk-UA"/>
              </w:rPr>
            </w:pPr>
            <w:r w:rsidRPr="006D09CB">
              <w:rPr>
                <w:rFonts w:ascii="Times New Roman" w:hAnsi="Times New Roman" w:cs="Times New Roman"/>
                <w:noProof/>
                <w:sz w:val="24"/>
                <w:szCs w:val="24"/>
                <w:lang w:val="uk-UA"/>
              </w:rPr>
              <w:t>зовнішньо</w:t>
            </w:r>
            <w:r w:rsidR="00C10BD1">
              <w:rPr>
                <w:rFonts w:ascii="Times New Roman" w:hAnsi="Times New Roman" w:cs="Times New Roman"/>
                <w:noProof/>
                <w:sz w:val="24"/>
                <w:szCs w:val="24"/>
                <w:lang w:val="uk-UA"/>
              </w:rPr>
              <w:t>-</w:t>
            </w:r>
            <w:r w:rsidRPr="006D09CB">
              <w:rPr>
                <w:rFonts w:ascii="Times New Roman" w:hAnsi="Times New Roman" w:cs="Times New Roman"/>
                <w:noProof/>
                <w:sz w:val="24"/>
                <w:szCs w:val="24"/>
                <w:lang w:val="uk-UA"/>
              </w:rPr>
              <w:t>економічної</w:t>
            </w:r>
          </w:p>
          <w:p w14:paraId="24B81766" w14:textId="77777777" w:rsidR="00C95B3C" w:rsidRPr="006D09CB" w:rsidRDefault="00C95B3C" w:rsidP="00F66D00">
            <w:pPr>
              <w:jc w:val="left"/>
              <w:rPr>
                <w:rFonts w:ascii="Times New Roman" w:hAnsi="Times New Roman" w:cs="Times New Roman"/>
                <w:noProof/>
                <w:sz w:val="24"/>
                <w:szCs w:val="24"/>
                <w:lang w:val="uk-UA"/>
              </w:rPr>
            </w:pPr>
            <w:r w:rsidRPr="006D09CB">
              <w:rPr>
                <w:rFonts w:ascii="Times New Roman" w:hAnsi="Times New Roman" w:cs="Times New Roman"/>
                <w:noProof/>
                <w:sz w:val="24"/>
                <w:szCs w:val="24"/>
                <w:lang w:val="uk-UA"/>
              </w:rPr>
              <w:t>діяльності обласної</w:t>
            </w:r>
          </w:p>
          <w:p w14:paraId="26C24279" w14:textId="0651EBEA" w:rsidR="003D4AAF" w:rsidRPr="006D09CB" w:rsidRDefault="00C95B3C" w:rsidP="00F66D00">
            <w:pPr>
              <w:jc w:val="left"/>
              <w:rPr>
                <w:rFonts w:ascii="Times New Roman" w:eastAsia="Times New Roman" w:hAnsi="Times New Roman" w:cs="Times New Roman"/>
                <w:sz w:val="24"/>
                <w:szCs w:val="24"/>
                <w:lang w:val="uk-UA"/>
              </w:rPr>
            </w:pPr>
            <w:r w:rsidRPr="006D09CB">
              <w:rPr>
                <w:rFonts w:ascii="Times New Roman" w:hAnsi="Times New Roman" w:cs="Times New Roman"/>
                <w:noProof/>
                <w:sz w:val="24"/>
                <w:szCs w:val="24"/>
                <w:lang w:val="uk-UA"/>
              </w:rPr>
              <w:t>держа</w:t>
            </w:r>
            <w:r w:rsidR="00397905" w:rsidRPr="006D09CB">
              <w:rPr>
                <w:rFonts w:ascii="Times New Roman" w:hAnsi="Times New Roman" w:cs="Times New Roman"/>
                <w:noProof/>
                <w:sz w:val="24"/>
                <w:szCs w:val="24"/>
                <w:lang w:val="uk-UA"/>
              </w:rPr>
              <w:t>вної а</w:t>
            </w:r>
            <w:r w:rsidRPr="006D09CB">
              <w:rPr>
                <w:rFonts w:ascii="Times New Roman" w:hAnsi="Times New Roman" w:cs="Times New Roman"/>
                <w:noProof/>
                <w:sz w:val="24"/>
                <w:szCs w:val="24"/>
                <w:lang w:val="uk-UA"/>
              </w:rPr>
              <w:t>дміністрації</w:t>
            </w:r>
          </w:p>
        </w:tc>
        <w:tc>
          <w:tcPr>
            <w:tcW w:w="1418" w:type="dxa"/>
            <w:shd w:val="clear" w:color="auto" w:fill="auto"/>
            <w:tcMar>
              <w:top w:w="100" w:type="dxa"/>
              <w:left w:w="100" w:type="dxa"/>
              <w:bottom w:w="100" w:type="dxa"/>
              <w:right w:w="100" w:type="dxa"/>
            </w:tcMar>
          </w:tcPr>
          <w:p w14:paraId="057CE8EA" w14:textId="4C6F9210" w:rsidR="003D4AAF" w:rsidRPr="006D09CB" w:rsidRDefault="00D71AEC" w:rsidP="00EC726A">
            <w:pPr>
              <w:ind w:left="44"/>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31.12.2024</w:t>
            </w:r>
          </w:p>
        </w:tc>
        <w:tc>
          <w:tcPr>
            <w:tcW w:w="1418" w:type="dxa"/>
            <w:shd w:val="clear" w:color="auto" w:fill="auto"/>
            <w:tcMar>
              <w:top w:w="100" w:type="dxa"/>
              <w:left w:w="100" w:type="dxa"/>
              <w:bottom w:w="100" w:type="dxa"/>
              <w:right w:w="100" w:type="dxa"/>
            </w:tcMar>
          </w:tcPr>
          <w:p w14:paraId="23FFFB07" w14:textId="28DC8F7E" w:rsidR="003D4AAF" w:rsidRPr="006D09CB" w:rsidRDefault="00D71AEC" w:rsidP="00EC726A">
            <w:pPr>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3</w:t>
            </w:r>
            <w:r w:rsidR="00B5651C" w:rsidRPr="006D09CB">
              <w:rPr>
                <w:rFonts w:ascii="Times New Roman" w:eastAsia="Times New Roman" w:hAnsi="Times New Roman" w:cs="Times New Roman"/>
                <w:sz w:val="24"/>
                <w:szCs w:val="24"/>
                <w:lang w:val="uk-UA"/>
              </w:rPr>
              <w:t>0</w:t>
            </w:r>
            <w:r w:rsidRPr="006D09CB">
              <w:rPr>
                <w:rFonts w:ascii="Times New Roman" w:eastAsia="Times New Roman" w:hAnsi="Times New Roman" w:cs="Times New Roman"/>
                <w:sz w:val="24"/>
                <w:szCs w:val="24"/>
                <w:lang w:val="uk-UA"/>
              </w:rPr>
              <w:t>.</w:t>
            </w:r>
            <w:r w:rsidR="00B5651C" w:rsidRPr="006D09CB">
              <w:rPr>
                <w:rFonts w:ascii="Times New Roman" w:eastAsia="Times New Roman" w:hAnsi="Times New Roman" w:cs="Times New Roman"/>
                <w:sz w:val="24"/>
                <w:szCs w:val="24"/>
                <w:lang w:val="uk-UA"/>
              </w:rPr>
              <w:t>0</w:t>
            </w:r>
            <w:r w:rsidR="00903085">
              <w:rPr>
                <w:rFonts w:ascii="Times New Roman" w:eastAsia="Times New Roman" w:hAnsi="Times New Roman" w:cs="Times New Roman"/>
                <w:sz w:val="24"/>
                <w:szCs w:val="24"/>
                <w:lang w:val="uk-UA"/>
              </w:rPr>
              <w:t>9</w:t>
            </w:r>
            <w:r w:rsidRPr="006D09CB">
              <w:rPr>
                <w:rFonts w:ascii="Times New Roman" w:eastAsia="Times New Roman" w:hAnsi="Times New Roman" w:cs="Times New Roman"/>
                <w:sz w:val="24"/>
                <w:szCs w:val="24"/>
                <w:lang w:val="uk-UA"/>
              </w:rPr>
              <w:t>.202</w:t>
            </w:r>
            <w:r w:rsidR="00B5651C" w:rsidRPr="006D09CB">
              <w:rPr>
                <w:rFonts w:ascii="Times New Roman" w:eastAsia="Times New Roman" w:hAnsi="Times New Roman" w:cs="Times New Roman"/>
                <w:sz w:val="24"/>
                <w:szCs w:val="24"/>
                <w:lang w:val="uk-UA"/>
              </w:rPr>
              <w:t>3</w:t>
            </w:r>
          </w:p>
        </w:tc>
        <w:tc>
          <w:tcPr>
            <w:tcW w:w="1558" w:type="dxa"/>
            <w:shd w:val="clear" w:color="auto" w:fill="auto"/>
            <w:tcMar>
              <w:top w:w="100" w:type="dxa"/>
              <w:left w:w="100" w:type="dxa"/>
              <w:bottom w:w="100" w:type="dxa"/>
              <w:right w:w="100" w:type="dxa"/>
            </w:tcMar>
          </w:tcPr>
          <w:p w14:paraId="2E4E00DA" w14:textId="5C543B61" w:rsidR="003D4AAF" w:rsidRPr="006D09CB" w:rsidRDefault="00FE1A46" w:rsidP="00EC726A">
            <w:pPr>
              <w:ind w:right="140"/>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виконано</w:t>
            </w:r>
          </w:p>
        </w:tc>
        <w:tc>
          <w:tcPr>
            <w:tcW w:w="5471" w:type="dxa"/>
            <w:shd w:val="clear" w:color="auto" w:fill="auto"/>
            <w:tcMar>
              <w:top w:w="100" w:type="dxa"/>
              <w:left w:w="100" w:type="dxa"/>
              <w:bottom w:w="100" w:type="dxa"/>
              <w:right w:w="100" w:type="dxa"/>
            </w:tcMar>
          </w:tcPr>
          <w:p w14:paraId="182E0170" w14:textId="77777777" w:rsidR="00903085" w:rsidRPr="00903085" w:rsidRDefault="00903085" w:rsidP="00903085">
            <w:pPr>
              <w:widowControl w:val="0"/>
              <w:jc w:val="left"/>
              <w:rPr>
                <w:rFonts w:ascii="Times New Roman" w:eastAsia="Times New Roman" w:hAnsi="Times New Roman" w:cs="Times New Roman"/>
                <w:i/>
                <w:sz w:val="24"/>
                <w:szCs w:val="24"/>
                <w:lang w:val="uk-UA"/>
              </w:rPr>
            </w:pPr>
            <w:r w:rsidRPr="00903085">
              <w:rPr>
                <w:rFonts w:ascii="Times New Roman" w:hAnsi="Times New Roman"/>
                <w:noProof/>
                <w:sz w:val="24"/>
                <w:szCs w:val="24"/>
                <w:lang w:val="uk-UA"/>
              </w:rPr>
              <w:t xml:space="preserve">визначено індикатори для проведення щоквартального моніторингу облаштування приміщень ЦНАП з урахуванням потреб осіб з інвалідністю згідно з формою звітності Мінцифри у рамках модулю звітності «Статичний моніторинг функціонування ЦНАП» Єдиного державного веб-порталу електронних послуг </w:t>
            </w:r>
          </w:p>
          <w:p w14:paraId="37F9E35B" w14:textId="63999310" w:rsidR="00903085" w:rsidRPr="00903085" w:rsidRDefault="00903085" w:rsidP="00903085">
            <w:pPr>
              <w:widowControl w:val="0"/>
              <w:jc w:val="left"/>
              <w:rPr>
                <w:rFonts w:ascii="Times New Roman" w:eastAsia="Times New Roman" w:hAnsi="Times New Roman" w:cs="Times New Roman"/>
                <w:i/>
                <w:sz w:val="24"/>
                <w:szCs w:val="24"/>
                <w:lang w:val="uk-UA"/>
              </w:rPr>
            </w:pPr>
          </w:p>
          <w:p w14:paraId="53F9E836" w14:textId="77777777" w:rsidR="007B05D3" w:rsidRPr="00641285" w:rsidRDefault="007B05D3" w:rsidP="00F66D00">
            <w:pPr>
              <w:jc w:val="left"/>
              <w:rPr>
                <w:rFonts w:ascii="Times New Roman" w:eastAsia="Times New Roman" w:hAnsi="Times New Roman" w:cs="Times New Roman"/>
                <w:i/>
                <w:sz w:val="24"/>
                <w:szCs w:val="24"/>
                <w:highlight w:val="yellow"/>
                <w:lang w:val="uk-UA"/>
              </w:rPr>
            </w:pPr>
          </w:p>
          <w:p w14:paraId="354E5196" w14:textId="77777777" w:rsidR="007B05D3" w:rsidRPr="00641285" w:rsidRDefault="007B05D3" w:rsidP="00F66D00">
            <w:pPr>
              <w:jc w:val="left"/>
              <w:rPr>
                <w:rFonts w:ascii="Times New Roman" w:eastAsia="Times New Roman" w:hAnsi="Times New Roman" w:cs="Times New Roman"/>
                <w:i/>
                <w:sz w:val="24"/>
                <w:szCs w:val="24"/>
                <w:highlight w:val="yellow"/>
                <w:lang w:val="uk-UA"/>
              </w:rPr>
            </w:pPr>
          </w:p>
          <w:p w14:paraId="189CA589" w14:textId="77777777" w:rsidR="007B05D3" w:rsidRPr="00641285" w:rsidRDefault="007B05D3" w:rsidP="00F66D00">
            <w:pPr>
              <w:jc w:val="left"/>
              <w:rPr>
                <w:rFonts w:ascii="Times New Roman" w:eastAsia="Times New Roman" w:hAnsi="Times New Roman" w:cs="Times New Roman"/>
                <w:i/>
                <w:sz w:val="24"/>
                <w:szCs w:val="24"/>
                <w:highlight w:val="yellow"/>
                <w:lang w:val="uk-UA"/>
              </w:rPr>
            </w:pPr>
          </w:p>
          <w:p w14:paraId="4C873B88" w14:textId="77777777" w:rsidR="007B05D3" w:rsidRPr="00641285" w:rsidRDefault="007B05D3" w:rsidP="004C6514">
            <w:pPr>
              <w:rPr>
                <w:rFonts w:ascii="Times New Roman" w:eastAsia="Times New Roman" w:hAnsi="Times New Roman" w:cs="Times New Roman"/>
                <w:i/>
                <w:sz w:val="24"/>
                <w:szCs w:val="24"/>
                <w:highlight w:val="yellow"/>
                <w:lang w:val="uk-UA"/>
              </w:rPr>
            </w:pPr>
          </w:p>
          <w:p w14:paraId="7B03A42C" w14:textId="77777777" w:rsidR="007B05D3" w:rsidRPr="00641285" w:rsidRDefault="007B05D3" w:rsidP="004C6514">
            <w:pPr>
              <w:rPr>
                <w:rFonts w:ascii="Times New Roman" w:eastAsia="Times New Roman" w:hAnsi="Times New Roman" w:cs="Times New Roman"/>
                <w:i/>
                <w:sz w:val="24"/>
                <w:szCs w:val="24"/>
                <w:highlight w:val="yellow"/>
                <w:lang w:val="uk-UA"/>
              </w:rPr>
            </w:pPr>
          </w:p>
          <w:p w14:paraId="55BE2F08" w14:textId="77777777" w:rsidR="007B05D3" w:rsidRPr="00641285" w:rsidRDefault="007B05D3" w:rsidP="004C6514">
            <w:pPr>
              <w:rPr>
                <w:rFonts w:ascii="Times New Roman" w:eastAsia="Times New Roman" w:hAnsi="Times New Roman" w:cs="Times New Roman"/>
                <w:i/>
                <w:sz w:val="24"/>
                <w:szCs w:val="24"/>
                <w:highlight w:val="yellow"/>
                <w:lang w:val="uk-UA"/>
              </w:rPr>
            </w:pPr>
          </w:p>
          <w:p w14:paraId="018385B6" w14:textId="52388F2F" w:rsidR="007B05D3" w:rsidRPr="00641285" w:rsidRDefault="007B05D3" w:rsidP="004C6514">
            <w:pPr>
              <w:rPr>
                <w:rFonts w:ascii="Times New Roman" w:eastAsia="Times New Roman" w:hAnsi="Times New Roman" w:cs="Times New Roman"/>
                <w:sz w:val="24"/>
                <w:szCs w:val="24"/>
                <w:highlight w:val="yellow"/>
                <w:lang w:val="uk-UA"/>
              </w:rPr>
            </w:pPr>
          </w:p>
        </w:tc>
      </w:tr>
      <w:bookmarkEnd w:id="2"/>
      <w:tr w:rsidR="00FE1A46" w:rsidRPr="006D09CB" w14:paraId="031AF4C2" w14:textId="77777777" w:rsidTr="00E90D14">
        <w:trPr>
          <w:trHeight w:val="450"/>
        </w:trPr>
        <w:tc>
          <w:tcPr>
            <w:tcW w:w="2543" w:type="dxa"/>
            <w:shd w:val="clear" w:color="auto" w:fill="auto"/>
            <w:tcMar>
              <w:top w:w="100" w:type="dxa"/>
              <w:left w:w="100" w:type="dxa"/>
              <w:bottom w:w="100" w:type="dxa"/>
              <w:right w:w="100" w:type="dxa"/>
            </w:tcMar>
          </w:tcPr>
          <w:p w14:paraId="3AFDF111" w14:textId="659F85AC" w:rsidR="00FE1A46" w:rsidRPr="006D09CB" w:rsidRDefault="00FE1A46" w:rsidP="00F66D00">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lastRenderedPageBreak/>
              <w:t>2) підготувати звіт за результатами</w:t>
            </w:r>
          </w:p>
          <w:p w14:paraId="3B15DE2F" w14:textId="77777777" w:rsidR="00FE1A46" w:rsidRPr="006D09CB" w:rsidRDefault="00FE1A46" w:rsidP="00F66D00">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проведеного</w:t>
            </w:r>
          </w:p>
          <w:p w14:paraId="50F99614" w14:textId="77777777" w:rsidR="00FE1A46" w:rsidRPr="006D09CB" w:rsidRDefault="00FE1A46" w:rsidP="00F66D00">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щоквартального</w:t>
            </w:r>
          </w:p>
          <w:p w14:paraId="6E805EF4" w14:textId="11FF516A" w:rsidR="00FE1A46" w:rsidRPr="006D09CB" w:rsidRDefault="00FE1A46" w:rsidP="00F66D00">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lang w:val="uk-UA"/>
              </w:rPr>
              <w:t>моніторингу</w:t>
            </w:r>
          </w:p>
        </w:tc>
        <w:tc>
          <w:tcPr>
            <w:tcW w:w="2329" w:type="dxa"/>
            <w:shd w:val="clear" w:color="auto" w:fill="auto"/>
            <w:tcMar>
              <w:top w:w="100" w:type="dxa"/>
              <w:left w:w="100" w:type="dxa"/>
              <w:bottom w:w="100" w:type="dxa"/>
              <w:right w:w="100" w:type="dxa"/>
            </w:tcMar>
          </w:tcPr>
          <w:p w14:paraId="41C634CE" w14:textId="77777777" w:rsidR="00854BBE" w:rsidRPr="006D09CB" w:rsidRDefault="00854BBE" w:rsidP="00F66D00">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Департамент</w:t>
            </w:r>
          </w:p>
          <w:p w14:paraId="6BE49268" w14:textId="77777777" w:rsidR="00854BBE" w:rsidRPr="006D09CB" w:rsidRDefault="00854BBE" w:rsidP="00F66D00">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економічного</w:t>
            </w:r>
          </w:p>
          <w:p w14:paraId="3AD19C3D" w14:textId="77777777" w:rsidR="00854BBE" w:rsidRPr="006D09CB" w:rsidRDefault="00854BBE" w:rsidP="00F66D00">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розвитку та</w:t>
            </w:r>
          </w:p>
          <w:p w14:paraId="16639EC3" w14:textId="3904C411" w:rsidR="00854BBE" w:rsidRPr="006D09CB" w:rsidRDefault="00854BBE" w:rsidP="00F66D00">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зовнішньо</w:t>
            </w:r>
            <w:r w:rsidR="00C10BD1">
              <w:rPr>
                <w:rFonts w:ascii="Times New Roman" w:eastAsia="Times New Roman" w:hAnsi="Times New Roman" w:cs="Times New Roman"/>
                <w:sz w:val="24"/>
                <w:szCs w:val="24"/>
                <w:lang w:val="uk-UA"/>
              </w:rPr>
              <w:t>-</w:t>
            </w:r>
            <w:r w:rsidRPr="006D09CB">
              <w:rPr>
                <w:rFonts w:ascii="Times New Roman" w:eastAsia="Times New Roman" w:hAnsi="Times New Roman" w:cs="Times New Roman"/>
                <w:sz w:val="24"/>
                <w:szCs w:val="24"/>
                <w:lang w:val="uk-UA"/>
              </w:rPr>
              <w:t>економічної</w:t>
            </w:r>
          </w:p>
          <w:p w14:paraId="06CE6713" w14:textId="77777777" w:rsidR="00854BBE" w:rsidRPr="006D09CB" w:rsidRDefault="00854BBE" w:rsidP="00F66D00">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діяльності обласної</w:t>
            </w:r>
          </w:p>
          <w:p w14:paraId="4DC7BA1A" w14:textId="3754FB46" w:rsidR="00FE1A46" w:rsidRPr="006D09CB" w:rsidRDefault="00854BBE" w:rsidP="00F66D00">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державної адміністрації</w:t>
            </w:r>
          </w:p>
        </w:tc>
        <w:tc>
          <w:tcPr>
            <w:tcW w:w="1418" w:type="dxa"/>
            <w:shd w:val="clear" w:color="auto" w:fill="auto"/>
            <w:tcMar>
              <w:top w:w="100" w:type="dxa"/>
              <w:left w:w="100" w:type="dxa"/>
              <w:bottom w:w="100" w:type="dxa"/>
              <w:right w:w="100" w:type="dxa"/>
            </w:tcMar>
          </w:tcPr>
          <w:p w14:paraId="023B58A2" w14:textId="7FD63971" w:rsidR="00FE1A46" w:rsidRPr="006D09CB" w:rsidRDefault="00FE1A46" w:rsidP="00EC726A">
            <w:pPr>
              <w:ind w:left="44"/>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31.12.2024</w:t>
            </w:r>
          </w:p>
        </w:tc>
        <w:tc>
          <w:tcPr>
            <w:tcW w:w="1418" w:type="dxa"/>
            <w:shd w:val="clear" w:color="auto" w:fill="auto"/>
            <w:tcMar>
              <w:top w:w="100" w:type="dxa"/>
              <w:left w:w="100" w:type="dxa"/>
              <w:bottom w:w="100" w:type="dxa"/>
              <w:right w:w="100" w:type="dxa"/>
            </w:tcMar>
          </w:tcPr>
          <w:p w14:paraId="39C3E285" w14:textId="785ECDA1" w:rsidR="00FE1A46" w:rsidRPr="006D09CB" w:rsidRDefault="00EC726A" w:rsidP="00EC726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558" w:type="dxa"/>
            <w:shd w:val="clear" w:color="auto" w:fill="auto"/>
            <w:tcMar>
              <w:top w:w="100" w:type="dxa"/>
              <w:left w:w="100" w:type="dxa"/>
              <w:bottom w:w="100" w:type="dxa"/>
              <w:right w:w="100" w:type="dxa"/>
            </w:tcMar>
          </w:tcPr>
          <w:p w14:paraId="2AD5CD7B" w14:textId="3A03DCCE" w:rsidR="00FE1A46" w:rsidRPr="006D09CB" w:rsidRDefault="00FE1A46" w:rsidP="00EC726A">
            <w:pPr>
              <w:rPr>
                <w:rFonts w:ascii="Times New Roman" w:eastAsia="Times New Roman" w:hAnsi="Times New Roman" w:cs="Times New Roman"/>
                <w:i/>
                <w:sz w:val="24"/>
                <w:szCs w:val="24"/>
                <w:lang w:val="uk-UA"/>
              </w:rPr>
            </w:pPr>
            <w:r w:rsidRPr="006D09CB">
              <w:rPr>
                <w:rFonts w:ascii="Times New Roman" w:eastAsia="Times New Roman" w:hAnsi="Times New Roman" w:cs="Times New Roman"/>
                <w:sz w:val="24"/>
                <w:szCs w:val="24"/>
                <w:lang w:val="uk-UA"/>
              </w:rPr>
              <w:t>не розпочато</w:t>
            </w:r>
          </w:p>
        </w:tc>
        <w:tc>
          <w:tcPr>
            <w:tcW w:w="5471" w:type="dxa"/>
            <w:shd w:val="clear" w:color="auto" w:fill="auto"/>
            <w:tcMar>
              <w:top w:w="100" w:type="dxa"/>
              <w:left w:w="100" w:type="dxa"/>
              <w:bottom w:w="100" w:type="dxa"/>
              <w:right w:w="100" w:type="dxa"/>
            </w:tcMar>
          </w:tcPr>
          <w:p w14:paraId="6738A4E6" w14:textId="05E9561F" w:rsidR="00FE1A46" w:rsidRPr="00641285" w:rsidRDefault="00903085" w:rsidP="00903085">
            <w:pPr>
              <w:jc w:val="left"/>
              <w:rPr>
                <w:rFonts w:ascii="Times New Roman" w:eastAsia="Times New Roman" w:hAnsi="Times New Roman" w:cs="Times New Roman"/>
                <w:i/>
                <w:sz w:val="24"/>
                <w:szCs w:val="24"/>
                <w:highlight w:val="yellow"/>
                <w:lang w:val="uk-UA"/>
              </w:rPr>
            </w:pPr>
            <w:r w:rsidRPr="008B006B">
              <w:rPr>
                <w:rFonts w:ascii="Times New Roman" w:eastAsia="Times New Roman" w:hAnsi="Times New Roman" w:cs="Times New Roman"/>
                <w:sz w:val="24"/>
                <w:szCs w:val="24"/>
                <w:lang w:val="uk-UA"/>
              </w:rPr>
              <w:t>проведення щоквартального моніторингу облаштування приміщень ЦНАП відповідно до Примірного регламенту ЦНАП, затвердженого постановою Кабінету Міністрів України від 01.08.2013 № 588, буде можливе після деокупації територій територіальних громад області</w:t>
            </w:r>
            <w:r w:rsidR="008B006B">
              <w:rPr>
                <w:rFonts w:ascii="Times New Roman" w:eastAsia="Times New Roman" w:hAnsi="Times New Roman" w:cs="Times New Roman"/>
                <w:sz w:val="24"/>
                <w:szCs w:val="24"/>
                <w:lang w:val="uk-UA"/>
              </w:rPr>
              <w:t>.</w:t>
            </w:r>
          </w:p>
        </w:tc>
      </w:tr>
      <w:tr w:rsidR="00566CCE" w:rsidRPr="006D09CB" w14:paraId="13E59C47" w14:textId="77777777" w:rsidTr="00E90D14">
        <w:trPr>
          <w:trHeight w:val="474"/>
        </w:trPr>
        <w:tc>
          <w:tcPr>
            <w:tcW w:w="14737" w:type="dxa"/>
            <w:gridSpan w:val="6"/>
            <w:tcMar>
              <w:top w:w="100" w:type="dxa"/>
              <w:left w:w="100" w:type="dxa"/>
              <w:bottom w:w="100" w:type="dxa"/>
              <w:right w:w="100" w:type="dxa"/>
            </w:tcMar>
          </w:tcPr>
          <w:p w14:paraId="2562053D" w14:textId="77777777" w:rsidR="00566CCE" w:rsidRPr="00C10BD1" w:rsidRDefault="00566CCE" w:rsidP="00566CCE">
            <w:pPr>
              <w:widowControl w:val="0"/>
              <w:rPr>
                <w:rFonts w:ascii="Times New Roman" w:eastAsia="Times New Roman" w:hAnsi="Times New Roman" w:cs="Times New Roman"/>
                <w:b/>
                <w:bCs/>
                <w:sz w:val="24"/>
                <w:szCs w:val="24"/>
                <w:lang w:val="uk-UA" w:eastAsia="ru-RU"/>
              </w:rPr>
            </w:pPr>
            <w:r w:rsidRPr="00C10BD1">
              <w:rPr>
                <w:rFonts w:ascii="Times New Roman" w:eastAsia="Times New Roman" w:hAnsi="Times New Roman" w:cs="Times New Roman"/>
                <w:b/>
                <w:bCs/>
                <w:sz w:val="24"/>
                <w:szCs w:val="24"/>
                <w:lang w:val="uk-UA" w:eastAsia="ru-RU"/>
              </w:rPr>
              <w:t>Напрям ІІ. Інформаційна безбар’єрність:</w:t>
            </w:r>
          </w:p>
          <w:p w14:paraId="0290AC61" w14:textId="77777777" w:rsidR="006D09CB" w:rsidRDefault="00566CCE" w:rsidP="006D09CB">
            <w:pPr>
              <w:widowControl w:val="0"/>
              <w:rPr>
                <w:rFonts w:ascii="Times New Roman" w:eastAsia="Times New Roman" w:hAnsi="Times New Roman" w:cs="Times New Roman"/>
                <w:sz w:val="24"/>
                <w:szCs w:val="24"/>
                <w:lang w:val="uk-UA" w:eastAsia="ru-RU"/>
              </w:rPr>
            </w:pPr>
            <w:r w:rsidRPr="006D09CB">
              <w:rPr>
                <w:rFonts w:ascii="Times New Roman" w:eastAsia="Times New Roman" w:hAnsi="Times New Roman" w:cs="Times New Roman"/>
                <w:sz w:val="24"/>
                <w:szCs w:val="24"/>
                <w:lang w:val="uk-UA" w:eastAsia="ru-RU"/>
              </w:rPr>
              <w:t>люди незалежно від їх функціональних порушень чи комунікативних можливостей мають доступ</w:t>
            </w:r>
            <w:r w:rsidR="006D09CB">
              <w:rPr>
                <w:rFonts w:ascii="Times New Roman" w:eastAsia="Times New Roman" w:hAnsi="Times New Roman" w:cs="Times New Roman"/>
                <w:sz w:val="24"/>
                <w:szCs w:val="24"/>
                <w:lang w:val="uk-UA" w:eastAsia="ru-RU"/>
              </w:rPr>
              <w:t xml:space="preserve"> </w:t>
            </w:r>
            <w:r w:rsidRPr="006D09CB">
              <w:rPr>
                <w:rFonts w:ascii="Times New Roman" w:eastAsia="Times New Roman" w:hAnsi="Times New Roman" w:cs="Times New Roman"/>
                <w:sz w:val="24"/>
                <w:szCs w:val="24"/>
                <w:lang w:val="uk-UA" w:eastAsia="ru-RU"/>
              </w:rPr>
              <w:t>до інформації в різних форматах та з використанням технологій, зокрема шрифту Брайля,</w:t>
            </w:r>
            <w:r w:rsidR="006D09CB">
              <w:rPr>
                <w:rFonts w:ascii="Times New Roman" w:eastAsia="Times New Roman" w:hAnsi="Times New Roman" w:cs="Times New Roman"/>
                <w:sz w:val="24"/>
                <w:szCs w:val="24"/>
                <w:lang w:val="uk-UA" w:eastAsia="ru-RU"/>
              </w:rPr>
              <w:t xml:space="preserve"> </w:t>
            </w:r>
            <w:r w:rsidRPr="006D09CB">
              <w:rPr>
                <w:rFonts w:ascii="Times New Roman" w:eastAsia="Times New Roman" w:hAnsi="Times New Roman" w:cs="Times New Roman"/>
                <w:sz w:val="24"/>
                <w:szCs w:val="24"/>
                <w:lang w:val="uk-UA" w:eastAsia="ru-RU"/>
              </w:rPr>
              <w:t>великошрифтового друку, аудіодискрипції (тифлокоментування), перекладу жестовою мовою,</w:t>
            </w:r>
            <w:r w:rsidR="006D09CB">
              <w:rPr>
                <w:rFonts w:ascii="Times New Roman" w:eastAsia="Times New Roman" w:hAnsi="Times New Roman" w:cs="Times New Roman"/>
                <w:sz w:val="24"/>
                <w:szCs w:val="24"/>
                <w:lang w:val="uk-UA" w:eastAsia="ru-RU"/>
              </w:rPr>
              <w:t xml:space="preserve"> </w:t>
            </w:r>
            <w:r w:rsidRPr="006D09CB">
              <w:rPr>
                <w:rFonts w:ascii="Times New Roman" w:eastAsia="Times New Roman" w:hAnsi="Times New Roman" w:cs="Times New Roman"/>
                <w:sz w:val="24"/>
                <w:szCs w:val="24"/>
                <w:lang w:val="uk-UA" w:eastAsia="ru-RU"/>
              </w:rPr>
              <w:t>субтитрування, формату, придатного для зчитування програмами екранного доступу, формату</w:t>
            </w:r>
            <w:r w:rsidR="006D09CB">
              <w:rPr>
                <w:rFonts w:ascii="Times New Roman" w:eastAsia="Times New Roman" w:hAnsi="Times New Roman" w:cs="Times New Roman"/>
                <w:sz w:val="24"/>
                <w:szCs w:val="24"/>
                <w:lang w:val="uk-UA" w:eastAsia="ru-RU"/>
              </w:rPr>
              <w:t xml:space="preserve"> </w:t>
            </w:r>
            <w:r w:rsidRPr="006D09CB">
              <w:rPr>
                <w:rFonts w:ascii="Times New Roman" w:eastAsia="Times New Roman" w:hAnsi="Times New Roman" w:cs="Times New Roman"/>
                <w:sz w:val="24"/>
                <w:szCs w:val="24"/>
                <w:lang w:val="uk-UA" w:eastAsia="ru-RU"/>
              </w:rPr>
              <w:t xml:space="preserve">простої мови, легкого читання, </w:t>
            </w:r>
          </w:p>
          <w:p w14:paraId="2BBD2FF5" w14:textId="2D431BDD" w:rsidR="00566CCE" w:rsidRPr="006D09CB" w:rsidRDefault="00566CCE" w:rsidP="006D09CB">
            <w:pPr>
              <w:widowControl w:val="0"/>
              <w:rPr>
                <w:rFonts w:ascii="Times New Roman" w:eastAsia="Times New Roman" w:hAnsi="Times New Roman" w:cs="Times New Roman"/>
                <w:sz w:val="24"/>
                <w:szCs w:val="24"/>
                <w:lang w:val="uk-UA" w:eastAsia="ru-RU"/>
              </w:rPr>
            </w:pPr>
            <w:r w:rsidRPr="006D09CB">
              <w:rPr>
                <w:rFonts w:ascii="Times New Roman" w:eastAsia="Times New Roman" w:hAnsi="Times New Roman" w:cs="Times New Roman"/>
                <w:sz w:val="24"/>
                <w:szCs w:val="24"/>
                <w:lang w:val="uk-UA" w:eastAsia="ru-RU"/>
              </w:rPr>
              <w:t>засобів альтернативної комунікації</w:t>
            </w:r>
          </w:p>
        </w:tc>
      </w:tr>
      <w:tr w:rsidR="00566CCE" w:rsidRPr="006D09CB" w14:paraId="7378E282" w14:textId="77777777" w:rsidTr="00E90D14">
        <w:trPr>
          <w:trHeight w:val="120"/>
        </w:trPr>
        <w:tc>
          <w:tcPr>
            <w:tcW w:w="14737" w:type="dxa"/>
            <w:gridSpan w:val="6"/>
            <w:tcMar>
              <w:top w:w="100" w:type="dxa"/>
              <w:left w:w="100" w:type="dxa"/>
              <w:bottom w:w="100" w:type="dxa"/>
              <w:right w:w="100" w:type="dxa"/>
            </w:tcMar>
          </w:tcPr>
          <w:p w14:paraId="1CF250F2" w14:textId="77777777" w:rsidR="00566CCE" w:rsidRPr="006D09CB" w:rsidRDefault="00566CCE" w:rsidP="00566CCE">
            <w:pPr>
              <w:widowControl w:val="0"/>
              <w:rPr>
                <w:rFonts w:ascii="Times New Roman" w:eastAsia="Times New Roman" w:hAnsi="Times New Roman" w:cs="Times New Roman"/>
                <w:sz w:val="24"/>
                <w:szCs w:val="24"/>
                <w:lang w:val="uk-UA" w:eastAsia="ru-RU"/>
              </w:rPr>
            </w:pPr>
            <w:r w:rsidRPr="006D09CB">
              <w:rPr>
                <w:rFonts w:ascii="Times New Roman" w:eastAsia="Times New Roman" w:hAnsi="Times New Roman" w:cs="Times New Roman"/>
                <w:sz w:val="24"/>
                <w:szCs w:val="24"/>
                <w:lang w:val="uk-UA" w:eastAsia="ru-RU"/>
              </w:rPr>
              <w:t xml:space="preserve">Стратегічна ціль: кожен має рівний доступ до інформації, яку транслюють телерадіоорганізації та яка необхідна для участі у культурному </w:t>
            </w:r>
          </w:p>
          <w:p w14:paraId="6AA91433" w14:textId="171811E2" w:rsidR="00566CCE" w:rsidRPr="006D09CB" w:rsidRDefault="00566CCE" w:rsidP="00566CCE">
            <w:pPr>
              <w:widowControl w:val="0"/>
              <w:rPr>
                <w:rFonts w:ascii="Times New Roman" w:eastAsia="Times New Roman" w:hAnsi="Times New Roman" w:cs="Times New Roman"/>
                <w:sz w:val="24"/>
                <w:szCs w:val="24"/>
                <w:lang w:val="uk-UA" w:eastAsia="ru-RU"/>
              </w:rPr>
            </w:pPr>
            <w:r w:rsidRPr="006D09CB">
              <w:rPr>
                <w:rFonts w:ascii="Times New Roman" w:eastAsia="Times New Roman" w:hAnsi="Times New Roman" w:cs="Times New Roman"/>
                <w:sz w:val="24"/>
                <w:szCs w:val="24"/>
                <w:lang w:val="uk-UA" w:eastAsia="ru-RU"/>
              </w:rPr>
              <w:t>житті, проведенні дозвілля і відпочинку та заняття спортом</w:t>
            </w:r>
          </w:p>
        </w:tc>
      </w:tr>
      <w:tr w:rsidR="00566CCE" w:rsidRPr="00EC726A" w14:paraId="65372055" w14:textId="77777777" w:rsidTr="00E90D14">
        <w:trPr>
          <w:trHeight w:val="120"/>
        </w:trPr>
        <w:tc>
          <w:tcPr>
            <w:tcW w:w="14737" w:type="dxa"/>
            <w:gridSpan w:val="6"/>
            <w:tcMar>
              <w:top w:w="100" w:type="dxa"/>
              <w:left w:w="100" w:type="dxa"/>
              <w:bottom w:w="100" w:type="dxa"/>
              <w:right w:w="100" w:type="dxa"/>
            </w:tcMar>
          </w:tcPr>
          <w:p w14:paraId="059CA373" w14:textId="6E0856D1" w:rsidR="00566CCE" w:rsidRPr="00EC726A" w:rsidRDefault="00566CCE" w:rsidP="00EC726A">
            <w:pPr>
              <w:pStyle w:val="ab"/>
              <w:numPr>
                <w:ilvl w:val="0"/>
                <w:numId w:val="4"/>
              </w:numPr>
              <w:rPr>
                <w:rFonts w:ascii="Times New Roman" w:eastAsia="Times New Roman" w:hAnsi="Times New Roman" w:cs="Times New Roman"/>
                <w:iCs/>
                <w:sz w:val="24"/>
                <w:szCs w:val="24"/>
                <w:lang w:val="uk-UA" w:eastAsia="ru-RU"/>
              </w:rPr>
            </w:pPr>
            <w:r w:rsidRPr="00EC726A">
              <w:rPr>
                <w:rFonts w:ascii="Times New Roman" w:eastAsia="Times New Roman" w:hAnsi="Times New Roman" w:cs="Times New Roman"/>
                <w:iCs/>
                <w:sz w:val="24"/>
                <w:szCs w:val="24"/>
                <w:lang w:val="uk-UA"/>
              </w:rPr>
              <w:t>Проведено інформаційну кампанію «Україна без бар’єрів»</w:t>
            </w:r>
          </w:p>
        </w:tc>
      </w:tr>
      <w:tr w:rsidR="004B58A6" w:rsidRPr="006D09CB" w14:paraId="1BD44567" w14:textId="77777777" w:rsidTr="00E90D14">
        <w:trPr>
          <w:trHeight w:val="450"/>
        </w:trPr>
        <w:tc>
          <w:tcPr>
            <w:tcW w:w="2543" w:type="dxa"/>
            <w:shd w:val="clear" w:color="auto" w:fill="auto"/>
            <w:tcMar>
              <w:top w:w="100" w:type="dxa"/>
              <w:left w:w="100" w:type="dxa"/>
              <w:bottom w:w="100" w:type="dxa"/>
              <w:right w:w="100" w:type="dxa"/>
            </w:tcMar>
          </w:tcPr>
          <w:p w14:paraId="11C1BE5F" w14:textId="4A0126C4" w:rsidR="004B58A6" w:rsidRPr="00EC726A" w:rsidRDefault="004B58A6" w:rsidP="00EC726A">
            <w:pPr>
              <w:jc w:val="left"/>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t>забезпечити проведення інформаційно-просвітницької кампанії «Україна без бар’єрів»</w:t>
            </w:r>
          </w:p>
        </w:tc>
        <w:tc>
          <w:tcPr>
            <w:tcW w:w="2329" w:type="dxa"/>
            <w:shd w:val="clear" w:color="auto" w:fill="auto"/>
            <w:tcMar>
              <w:top w:w="100" w:type="dxa"/>
              <w:left w:w="100" w:type="dxa"/>
              <w:bottom w:w="100" w:type="dxa"/>
              <w:right w:w="100" w:type="dxa"/>
            </w:tcMar>
          </w:tcPr>
          <w:p w14:paraId="726C103A" w14:textId="77777777" w:rsidR="004B58A6" w:rsidRPr="00EC726A" w:rsidRDefault="004B58A6" w:rsidP="00EC726A">
            <w:pPr>
              <w:jc w:val="left"/>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t>Департамент</w:t>
            </w:r>
          </w:p>
          <w:p w14:paraId="49B01FEA" w14:textId="52960169" w:rsidR="004B58A6" w:rsidRPr="00EC726A" w:rsidRDefault="00C10BD1" w:rsidP="00EC726A">
            <w:pPr>
              <w:jc w:val="left"/>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t>м</w:t>
            </w:r>
            <w:r w:rsidR="004B58A6" w:rsidRPr="00EC726A">
              <w:rPr>
                <w:rFonts w:ascii="Times New Roman" w:eastAsia="Times New Roman" w:hAnsi="Times New Roman" w:cs="Times New Roman"/>
                <w:iCs/>
                <w:sz w:val="24"/>
                <w:szCs w:val="24"/>
                <w:lang w:val="uk-UA"/>
              </w:rPr>
              <w:t>асових комунікацій обласної</w:t>
            </w:r>
          </w:p>
          <w:p w14:paraId="2F8121C1" w14:textId="04C5266F" w:rsidR="004B58A6" w:rsidRPr="00EC726A" w:rsidRDefault="004B58A6" w:rsidP="00EC726A">
            <w:pPr>
              <w:jc w:val="left"/>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t>державної адміністрації</w:t>
            </w:r>
          </w:p>
        </w:tc>
        <w:tc>
          <w:tcPr>
            <w:tcW w:w="1418" w:type="dxa"/>
            <w:shd w:val="clear" w:color="auto" w:fill="auto"/>
            <w:tcMar>
              <w:top w:w="100" w:type="dxa"/>
              <w:left w:w="100" w:type="dxa"/>
              <w:bottom w:w="100" w:type="dxa"/>
              <w:right w:w="100" w:type="dxa"/>
            </w:tcMar>
          </w:tcPr>
          <w:p w14:paraId="07F8B791" w14:textId="3EA37BA2" w:rsidR="004B58A6" w:rsidRPr="00EC726A" w:rsidRDefault="004B58A6" w:rsidP="00C10BD1">
            <w:pPr>
              <w:ind w:left="44"/>
              <w:rPr>
                <w:rFonts w:ascii="Times New Roman" w:eastAsia="Times New Roman" w:hAnsi="Times New Roman" w:cs="Times New Roman"/>
                <w:iCs/>
                <w:sz w:val="24"/>
                <w:szCs w:val="24"/>
                <w:lang w:val="uk-UA"/>
              </w:rPr>
            </w:pPr>
            <w:r w:rsidRPr="00EC726A">
              <w:rPr>
                <w:rFonts w:ascii="Times New Roman" w:hAnsi="Times New Roman" w:cs="Times New Roman"/>
                <w:iCs/>
                <w:sz w:val="24"/>
                <w:szCs w:val="24"/>
              </w:rPr>
              <w:t>31.12.2024</w:t>
            </w:r>
          </w:p>
        </w:tc>
        <w:tc>
          <w:tcPr>
            <w:tcW w:w="1418" w:type="dxa"/>
            <w:shd w:val="clear" w:color="auto" w:fill="auto"/>
            <w:tcMar>
              <w:top w:w="100" w:type="dxa"/>
              <w:left w:w="100" w:type="dxa"/>
              <w:bottom w:w="100" w:type="dxa"/>
              <w:right w:w="100" w:type="dxa"/>
            </w:tcMar>
          </w:tcPr>
          <w:p w14:paraId="6BA6EFF8" w14:textId="64D53D36" w:rsidR="004B58A6" w:rsidRPr="00EC726A" w:rsidRDefault="004B58A6" w:rsidP="00C10BD1">
            <w:pPr>
              <w:rPr>
                <w:rFonts w:ascii="Times New Roman" w:eastAsia="Times New Roman" w:hAnsi="Times New Roman" w:cs="Times New Roman"/>
                <w:iCs/>
                <w:sz w:val="24"/>
                <w:szCs w:val="24"/>
                <w:lang w:val="uk-UA"/>
              </w:rPr>
            </w:pPr>
            <w:r w:rsidRPr="00EC726A">
              <w:rPr>
                <w:rFonts w:ascii="Times New Roman" w:hAnsi="Times New Roman" w:cs="Times New Roman"/>
                <w:iCs/>
                <w:sz w:val="24"/>
                <w:szCs w:val="24"/>
              </w:rPr>
              <w:t>30.0</w:t>
            </w:r>
            <w:r w:rsidR="008C4D80">
              <w:rPr>
                <w:rFonts w:ascii="Times New Roman" w:hAnsi="Times New Roman" w:cs="Times New Roman"/>
                <w:iCs/>
                <w:sz w:val="24"/>
                <w:szCs w:val="24"/>
                <w:lang w:val="uk-UA"/>
              </w:rPr>
              <w:t>9</w:t>
            </w:r>
            <w:r w:rsidRPr="00EC726A">
              <w:rPr>
                <w:rFonts w:ascii="Times New Roman" w:hAnsi="Times New Roman" w:cs="Times New Roman"/>
                <w:iCs/>
                <w:sz w:val="24"/>
                <w:szCs w:val="24"/>
              </w:rPr>
              <w:t>.2023</w:t>
            </w:r>
          </w:p>
        </w:tc>
        <w:tc>
          <w:tcPr>
            <w:tcW w:w="1558" w:type="dxa"/>
            <w:shd w:val="clear" w:color="auto" w:fill="auto"/>
            <w:tcMar>
              <w:top w:w="100" w:type="dxa"/>
              <w:left w:w="100" w:type="dxa"/>
              <w:bottom w:w="100" w:type="dxa"/>
              <w:right w:w="100" w:type="dxa"/>
            </w:tcMar>
          </w:tcPr>
          <w:p w14:paraId="7E50E311" w14:textId="52D11B6C" w:rsidR="004B58A6" w:rsidRPr="00EC726A" w:rsidRDefault="004B58A6" w:rsidP="00C10BD1">
            <w:pPr>
              <w:ind w:right="45"/>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t>виконується</w:t>
            </w:r>
          </w:p>
        </w:tc>
        <w:tc>
          <w:tcPr>
            <w:tcW w:w="5471" w:type="dxa"/>
            <w:shd w:val="clear" w:color="auto" w:fill="auto"/>
            <w:tcMar>
              <w:top w:w="100" w:type="dxa"/>
              <w:left w:w="100" w:type="dxa"/>
              <w:bottom w:w="100" w:type="dxa"/>
              <w:right w:w="100" w:type="dxa"/>
            </w:tcMar>
          </w:tcPr>
          <w:p w14:paraId="2484F5BE" w14:textId="06A513F6" w:rsidR="004B58A6" w:rsidRPr="00EC726A" w:rsidRDefault="00EE57AA" w:rsidP="00EC726A">
            <w:pPr>
              <w:jc w:val="left"/>
              <w:rPr>
                <w:rFonts w:ascii="Times New Roman" w:eastAsia="Times New Roman" w:hAnsi="Times New Roman" w:cs="Times New Roman"/>
                <w:iCs/>
                <w:sz w:val="24"/>
                <w:szCs w:val="24"/>
                <w:lang w:val="uk-UA"/>
              </w:rPr>
            </w:pPr>
            <w:r w:rsidRPr="008B006B">
              <w:rPr>
                <w:rFonts w:ascii="Times New Roman" w:eastAsia="Times New Roman" w:hAnsi="Times New Roman" w:cs="Times New Roman"/>
                <w:iCs/>
                <w:sz w:val="24"/>
                <w:szCs w:val="24"/>
                <w:lang w:val="uk-UA"/>
              </w:rPr>
              <w:t>на постійній основі на офіційних ресурсах Луганської ОДА висвітлюється інформація корисна для людей з інвалідністю, та інформаційні матеріали про безбар’єрність.</w:t>
            </w:r>
          </w:p>
        </w:tc>
      </w:tr>
      <w:tr w:rsidR="00566CCE" w:rsidRPr="006D09CB" w14:paraId="66B314D8" w14:textId="77777777" w:rsidTr="00E90D14">
        <w:trPr>
          <w:trHeight w:val="450"/>
        </w:trPr>
        <w:tc>
          <w:tcPr>
            <w:tcW w:w="14737" w:type="dxa"/>
            <w:gridSpan w:val="6"/>
            <w:shd w:val="clear" w:color="auto" w:fill="auto"/>
            <w:tcMar>
              <w:top w:w="100" w:type="dxa"/>
              <w:left w:w="100" w:type="dxa"/>
              <w:bottom w:w="100" w:type="dxa"/>
              <w:right w:w="100" w:type="dxa"/>
            </w:tcMar>
          </w:tcPr>
          <w:p w14:paraId="65B83416" w14:textId="498D8040" w:rsidR="00566CCE" w:rsidRPr="00EC726A" w:rsidRDefault="00566CCE" w:rsidP="00EC726A">
            <w:pPr>
              <w:pStyle w:val="ab"/>
              <w:numPr>
                <w:ilvl w:val="0"/>
                <w:numId w:val="4"/>
              </w:numPr>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lastRenderedPageBreak/>
              <w:t>Проведено широку інформаційно</w:t>
            </w:r>
            <w:r w:rsidR="009626F5" w:rsidRPr="00EC726A">
              <w:rPr>
                <w:rFonts w:ascii="Times New Roman" w:eastAsia="Times New Roman" w:hAnsi="Times New Roman" w:cs="Times New Roman"/>
                <w:iCs/>
                <w:sz w:val="24"/>
                <w:szCs w:val="24"/>
                <w:lang w:val="uk-UA"/>
              </w:rPr>
              <w:t>-</w:t>
            </w:r>
            <w:r w:rsidRPr="00EC726A">
              <w:rPr>
                <w:rFonts w:ascii="Times New Roman" w:eastAsia="Times New Roman" w:hAnsi="Times New Roman" w:cs="Times New Roman"/>
                <w:iCs/>
                <w:sz w:val="24"/>
                <w:szCs w:val="24"/>
                <w:lang w:val="uk-UA"/>
              </w:rPr>
              <w:t>просвітницьку кампанію для працівників державних установ та посадових осіб військових адміністрацій населених пунктів (далі –ВА) щодо</w:t>
            </w:r>
            <w:r w:rsidRPr="00EC726A">
              <w:rPr>
                <w:rFonts w:ascii="Times New Roman" w:hAnsi="Times New Roman" w:cs="Times New Roman"/>
                <w:iCs/>
                <w:sz w:val="24"/>
                <w:szCs w:val="24"/>
              </w:rPr>
              <w:t xml:space="preserve"> </w:t>
            </w:r>
            <w:r w:rsidRPr="00EC726A">
              <w:rPr>
                <w:rFonts w:ascii="Times New Roman" w:eastAsia="Times New Roman" w:hAnsi="Times New Roman" w:cs="Times New Roman"/>
                <w:iCs/>
                <w:sz w:val="24"/>
                <w:szCs w:val="24"/>
                <w:lang w:val="uk-UA"/>
              </w:rPr>
              <w:t>політики безбар’єрності та недискримінації</w:t>
            </w:r>
          </w:p>
        </w:tc>
      </w:tr>
      <w:tr w:rsidR="004B58A6" w:rsidRPr="006D09CB" w14:paraId="573F593B" w14:textId="77777777" w:rsidTr="00E90D14">
        <w:trPr>
          <w:trHeight w:val="450"/>
        </w:trPr>
        <w:tc>
          <w:tcPr>
            <w:tcW w:w="2543" w:type="dxa"/>
            <w:shd w:val="clear" w:color="auto" w:fill="auto"/>
            <w:tcMar>
              <w:top w:w="100" w:type="dxa"/>
              <w:left w:w="100" w:type="dxa"/>
              <w:bottom w:w="100" w:type="dxa"/>
              <w:right w:w="100" w:type="dxa"/>
            </w:tcMar>
          </w:tcPr>
          <w:p w14:paraId="09894DFA"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1) забезпечити </w:t>
            </w:r>
          </w:p>
          <w:p w14:paraId="738133ED"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проведення широкої </w:t>
            </w:r>
          </w:p>
          <w:p w14:paraId="3EB20F92" w14:textId="1B0C130E"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інформаційно</w:t>
            </w:r>
            <w:r w:rsidRPr="006D09CB">
              <w:rPr>
                <w:rFonts w:ascii="Times New Roman" w:eastAsia="Times New Roman" w:hAnsi="Times New Roman" w:cs="Times New Roman"/>
                <w:sz w:val="24"/>
                <w:szCs w:val="24"/>
                <w:lang w:val="uk-UA"/>
              </w:rPr>
              <w:t>-</w:t>
            </w:r>
            <w:r w:rsidRPr="006D09CB">
              <w:rPr>
                <w:rFonts w:ascii="Times New Roman" w:eastAsia="Times New Roman" w:hAnsi="Times New Roman" w:cs="Times New Roman"/>
                <w:sz w:val="24"/>
                <w:szCs w:val="24"/>
              </w:rPr>
              <w:t xml:space="preserve">просвітницької </w:t>
            </w:r>
          </w:p>
          <w:p w14:paraId="500C3346"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кампанії для </w:t>
            </w:r>
          </w:p>
          <w:p w14:paraId="7F17D918"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працівників </w:t>
            </w:r>
          </w:p>
          <w:p w14:paraId="50F077A9"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державних установ та </w:t>
            </w:r>
          </w:p>
          <w:p w14:paraId="342B77AB"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посадових осіб ВА </w:t>
            </w:r>
          </w:p>
          <w:p w14:paraId="029ABCD5"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щодо політики </w:t>
            </w:r>
          </w:p>
          <w:p w14:paraId="054AE577"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безбар’єрності та </w:t>
            </w:r>
          </w:p>
          <w:p w14:paraId="68412869" w14:textId="2551AE8C"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недискримінації</w:t>
            </w:r>
          </w:p>
        </w:tc>
        <w:tc>
          <w:tcPr>
            <w:tcW w:w="2329" w:type="dxa"/>
            <w:shd w:val="clear" w:color="auto" w:fill="auto"/>
            <w:tcMar>
              <w:top w:w="100" w:type="dxa"/>
              <w:left w:w="100" w:type="dxa"/>
              <w:bottom w:w="100" w:type="dxa"/>
              <w:right w:w="100" w:type="dxa"/>
            </w:tcMar>
          </w:tcPr>
          <w:p w14:paraId="0156BB44" w14:textId="77777777" w:rsidR="004B58A6" w:rsidRPr="006D09CB" w:rsidRDefault="004B58A6" w:rsidP="00EC726A">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 xml:space="preserve">структурні підрозділи </w:t>
            </w:r>
          </w:p>
          <w:p w14:paraId="775AD9C5" w14:textId="6FA5136A" w:rsidR="004B58A6" w:rsidRPr="006D09CB" w:rsidRDefault="00F66D00" w:rsidP="00EC726A">
            <w:pPr>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обласної державної адміністрації</w:t>
            </w:r>
            <w:r w:rsidR="004B58A6" w:rsidRPr="006D09CB">
              <w:rPr>
                <w:rFonts w:ascii="Times New Roman" w:eastAsia="Times New Roman" w:hAnsi="Times New Roman" w:cs="Times New Roman"/>
                <w:sz w:val="24"/>
                <w:szCs w:val="24"/>
                <w:lang w:val="uk-UA"/>
              </w:rPr>
              <w:t xml:space="preserve">, </w:t>
            </w:r>
          </w:p>
          <w:p w14:paraId="26B82D7F" w14:textId="0E36D11F" w:rsidR="004B58A6" w:rsidRPr="006D09CB" w:rsidRDefault="004B58A6" w:rsidP="00EC726A">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рай</w:t>
            </w:r>
            <w:r w:rsidR="00EC726A">
              <w:rPr>
                <w:rFonts w:ascii="Times New Roman" w:eastAsia="Times New Roman" w:hAnsi="Times New Roman" w:cs="Times New Roman"/>
                <w:sz w:val="24"/>
                <w:szCs w:val="24"/>
                <w:lang w:val="uk-UA"/>
              </w:rPr>
              <w:t>онні військові а</w:t>
            </w:r>
            <w:r w:rsidRPr="006D09CB">
              <w:rPr>
                <w:rFonts w:ascii="Times New Roman" w:eastAsia="Times New Roman" w:hAnsi="Times New Roman" w:cs="Times New Roman"/>
                <w:sz w:val="24"/>
                <w:szCs w:val="24"/>
                <w:lang w:val="uk-UA"/>
              </w:rPr>
              <w:t>дміністрації</w:t>
            </w:r>
            <w:r w:rsidR="00EC726A">
              <w:rPr>
                <w:rFonts w:ascii="Times New Roman" w:eastAsia="Times New Roman" w:hAnsi="Times New Roman" w:cs="Times New Roman"/>
                <w:sz w:val="24"/>
                <w:szCs w:val="24"/>
                <w:lang w:val="uk-UA"/>
              </w:rPr>
              <w:t xml:space="preserve"> (далі - РВА)</w:t>
            </w:r>
            <w:r w:rsidRPr="006D09CB">
              <w:rPr>
                <w:rFonts w:ascii="Times New Roman" w:eastAsia="Times New Roman" w:hAnsi="Times New Roman" w:cs="Times New Roman"/>
                <w:sz w:val="24"/>
                <w:szCs w:val="24"/>
                <w:lang w:val="uk-UA"/>
              </w:rPr>
              <w:t xml:space="preserve">, </w:t>
            </w:r>
            <w:r w:rsidR="00EC726A">
              <w:rPr>
                <w:rFonts w:ascii="Times New Roman" w:eastAsia="Times New Roman" w:hAnsi="Times New Roman" w:cs="Times New Roman"/>
                <w:sz w:val="24"/>
                <w:szCs w:val="24"/>
                <w:lang w:val="uk-UA"/>
              </w:rPr>
              <w:t>ВА</w:t>
            </w:r>
          </w:p>
        </w:tc>
        <w:tc>
          <w:tcPr>
            <w:tcW w:w="1418" w:type="dxa"/>
            <w:shd w:val="clear" w:color="auto" w:fill="auto"/>
            <w:tcMar>
              <w:top w:w="100" w:type="dxa"/>
              <w:left w:w="100" w:type="dxa"/>
              <w:bottom w:w="100" w:type="dxa"/>
              <w:right w:w="100" w:type="dxa"/>
            </w:tcMar>
          </w:tcPr>
          <w:p w14:paraId="02B62374" w14:textId="762432E8" w:rsidR="004B58A6" w:rsidRPr="00EC726A" w:rsidRDefault="004B58A6" w:rsidP="00C10BD1">
            <w:pPr>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t>31.12.2024</w:t>
            </w:r>
          </w:p>
        </w:tc>
        <w:tc>
          <w:tcPr>
            <w:tcW w:w="1418" w:type="dxa"/>
            <w:shd w:val="clear" w:color="auto" w:fill="auto"/>
            <w:tcMar>
              <w:top w:w="100" w:type="dxa"/>
              <w:left w:w="100" w:type="dxa"/>
              <w:bottom w:w="100" w:type="dxa"/>
              <w:right w:w="100" w:type="dxa"/>
            </w:tcMar>
          </w:tcPr>
          <w:p w14:paraId="207AC31A" w14:textId="264F401C" w:rsidR="004B58A6" w:rsidRPr="00EC726A" w:rsidRDefault="004B58A6" w:rsidP="00C10BD1">
            <w:pPr>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t>30.0</w:t>
            </w:r>
            <w:r w:rsidR="00475418">
              <w:rPr>
                <w:rFonts w:ascii="Times New Roman" w:eastAsia="Times New Roman" w:hAnsi="Times New Roman" w:cs="Times New Roman"/>
                <w:iCs/>
                <w:sz w:val="24"/>
                <w:szCs w:val="24"/>
                <w:lang w:val="uk-UA"/>
              </w:rPr>
              <w:t>9</w:t>
            </w:r>
            <w:r w:rsidRPr="00EC726A">
              <w:rPr>
                <w:rFonts w:ascii="Times New Roman" w:eastAsia="Times New Roman" w:hAnsi="Times New Roman" w:cs="Times New Roman"/>
                <w:iCs/>
                <w:sz w:val="24"/>
                <w:szCs w:val="24"/>
                <w:lang w:val="uk-UA"/>
              </w:rPr>
              <w:t>.2023</w:t>
            </w:r>
          </w:p>
        </w:tc>
        <w:tc>
          <w:tcPr>
            <w:tcW w:w="1558" w:type="dxa"/>
            <w:shd w:val="clear" w:color="auto" w:fill="auto"/>
            <w:tcMar>
              <w:top w:w="100" w:type="dxa"/>
              <w:left w:w="100" w:type="dxa"/>
              <w:bottom w:w="100" w:type="dxa"/>
              <w:right w:w="100" w:type="dxa"/>
            </w:tcMar>
          </w:tcPr>
          <w:p w14:paraId="209B8B80" w14:textId="20FB10E9" w:rsidR="004B58A6" w:rsidRPr="00EC726A" w:rsidRDefault="004B58A6" w:rsidP="00C10BD1">
            <w:pPr>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t>виконується</w:t>
            </w:r>
          </w:p>
        </w:tc>
        <w:tc>
          <w:tcPr>
            <w:tcW w:w="5471" w:type="dxa"/>
            <w:shd w:val="clear" w:color="auto" w:fill="auto"/>
            <w:tcMar>
              <w:top w:w="100" w:type="dxa"/>
              <w:left w:w="100" w:type="dxa"/>
              <w:bottom w:w="100" w:type="dxa"/>
              <w:right w:w="100" w:type="dxa"/>
            </w:tcMar>
          </w:tcPr>
          <w:p w14:paraId="0A4369D2" w14:textId="656A63E5" w:rsidR="004B58A6" w:rsidRPr="008B006B" w:rsidRDefault="004B58A6" w:rsidP="00EC726A">
            <w:pPr>
              <w:jc w:val="left"/>
              <w:rPr>
                <w:rFonts w:ascii="Times New Roman" w:eastAsia="Times New Roman" w:hAnsi="Times New Roman" w:cs="Times New Roman"/>
                <w:iCs/>
                <w:sz w:val="24"/>
                <w:szCs w:val="24"/>
                <w:lang w:val="uk-UA"/>
              </w:rPr>
            </w:pPr>
            <w:r w:rsidRPr="008B006B">
              <w:rPr>
                <w:rFonts w:ascii="Times New Roman" w:eastAsia="Times New Roman" w:hAnsi="Times New Roman" w:cs="Times New Roman"/>
                <w:iCs/>
                <w:sz w:val="24"/>
                <w:szCs w:val="24"/>
              </w:rPr>
              <w:t xml:space="preserve">Департаментом будівництва, енергозбереження, архітектури та містобудування облдержадміністрації </w:t>
            </w:r>
            <w:r w:rsidR="008A7778" w:rsidRPr="008B006B">
              <w:rPr>
                <w:rFonts w:ascii="Times New Roman" w:eastAsia="Times New Roman" w:hAnsi="Times New Roman" w:cs="Times New Roman"/>
                <w:iCs/>
                <w:sz w:val="24"/>
                <w:szCs w:val="24"/>
                <w:lang w:val="uk-UA"/>
              </w:rPr>
              <w:t>05.09.</w:t>
            </w:r>
            <w:r w:rsidRPr="008B006B">
              <w:rPr>
                <w:rFonts w:ascii="Times New Roman" w:eastAsia="Times New Roman" w:hAnsi="Times New Roman" w:cs="Times New Roman"/>
                <w:iCs/>
                <w:sz w:val="24"/>
                <w:szCs w:val="24"/>
              </w:rPr>
              <w:t xml:space="preserve">2023 організовано </w:t>
            </w:r>
            <w:r w:rsidR="008A7778" w:rsidRPr="008B006B">
              <w:rPr>
                <w:rFonts w:ascii="Times New Roman" w:eastAsia="Times New Roman" w:hAnsi="Times New Roman" w:cs="Times New Roman"/>
                <w:iCs/>
                <w:sz w:val="24"/>
                <w:szCs w:val="24"/>
                <w:lang w:val="uk-UA"/>
              </w:rPr>
              <w:t>та проведено зустріч</w:t>
            </w:r>
            <w:r w:rsidR="00FC773A" w:rsidRPr="008B006B">
              <w:rPr>
                <w:rFonts w:ascii="Times New Roman" w:eastAsia="Times New Roman" w:hAnsi="Times New Roman" w:cs="Times New Roman"/>
                <w:iCs/>
                <w:sz w:val="24"/>
                <w:szCs w:val="24"/>
                <w:lang w:val="uk-UA"/>
              </w:rPr>
              <w:t xml:space="preserve"> для ознайомлення із новими вимогами щодо звітування  про стан виконання Плану заходів на 2023-2024 роки з Реалізації Національної стратегії із створення безбарʼєрного простору в Україні на період до 2030 з Тетяною Данилів - консультанткою SURGe «Супровід урядових реформ в Україні». </w:t>
            </w:r>
          </w:p>
        </w:tc>
      </w:tr>
      <w:tr w:rsidR="004B58A6" w:rsidRPr="006D09CB" w14:paraId="53A1DB18" w14:textId="77777777" w:rsidTr="00E90D14">
        <w:trPr>
          <w:trHeight w:val="450"/>
        </w:trPr>
        <w:tc>
          <w:tcPr>
            <w:tcW w:w="2543" w:type="dxa"/>
            <w:shd w:val="clear" w:color="auto" w:fill="auto"/>
            <w:tcMar>
              <w:top w:w="100" w:type="dxa"/>
              <w:left w:w="100" w:type="dxa"/>
              <w:bottom w:w="100" w:type="dxa"/>
              <w:right w:w="100" w:type="dxa"/>
            </w:tcMar>
          </w:tcPr>
          <w:p w14:paraId="3A6092C0"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2) підготувати звіт </w:t>
            </w:r>
          </w:p>
          <w:p w14:paraId="25EAAA91"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за результатами </w:t>
            </w:r>
          </w:p>
          <w:p w14:paraId="369E35D9"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широкої </w:t>
            </w:r>
          </w:p>
          <w:p w14:paraId="6E849002" w14:textId="3B31D6D3"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інформаційно</w:t>
            </w:r>
            <w:r w:rsidRPr="006D09CB">
              <w:rPr>
                <w:rFonts w:ascii="Times New Roman" w:eastAsia="Times New Roman" w:hAnsi="Times New Roman" w:cs="Times New Roman"/>
                <w:sz w:val="24"/>
                <w:szCs w:val="24"/>
                <w:lang w:val="uk-UA"/>
              </w:rPr>
              <w:t>-</w:t>
            </w:r>
            <w:r w:rsidRPr="006D09CB">
              <w:rPr>
                <w:rFonts w:ascii="Times New Roman" w:eastAsia="Times New Roman" w:hAnsi="Times New Roman" w:cs="Times New Roman"/>
                <w:sz w:val="24"/>
                <w:szCs w:val="24"/>
              </w:rPr>
              <w:t xml:space="preserve">просвітницької </w:t>
            </w:r>
          </w:p>
          <w:p w14:paraId="6E95962F"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кампанії для </w:t>
            </w:r>
          </w:p>
          <w:p w14:paraId="7BAF73D8"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працівників </w:t>
            </w:r>
          </w:p>
          <w:p w14:paraId="14FC1F88"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державних установ та </w:t>
            </w:r>
          </w:p>
          <w:p w14:paraId="275253D6"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посадових осіб ВА </w:t>
            </w:r>
          </w:p>
          <w:p w14:paraId="1C6711C2"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щодо політики </w:t>
            </w:r>
          </w:p>
          <w:p w14:paraId="39211139" w14:textId="77777777"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 xml:space="preserve">безбар’єрності та </w:t>
            </w:r>
          </w:p>
          <w:p w14:paraId="563B1715" w14:textId="449E9811" w:rsidR="004B58A6" w:rsidRPr="006D09CB" w:rsidRDefault="004B58A6" w:rsidP="00EC726A">
            <w:pPr>
              <w:jc w:val="left"/>
              <w:rPr>
                <w:rFonts w:ascii="Times New Roman" w:eastAsia="Times New Roman" w:hAnsi="Times New Roman" w:cs="Times New Roman"/>
                <w:sz w:val="24"/>
                <w:szCs w:val="24"/>
              </w:rPr>
            </w:pPr>
            <w:r w:rsidRPr="006D09CB">
              <w:rPr>
                <w:rFonts w:ascii="Times New Roman" w:eastAsia="Times New Roman" w:hAnsi="Times New Roman" w:cs="Times New Roman"/>
                <w:sz w:val="24"/>
                <w:szCs w:val="24"/>
              </w:rPr>
              <w:t>недискримінації</w:t>
            </w:r>
          </w:p>
        </w:tc>
        <w:tc>
          <w:tcPr>
            <w:tcW w:w="2329" w:type="dxa"/>
            <w:shd w:val="clear" w:color="auto" w:fill="auto"/>
            <w:tcMar>
              <w:top w:w="100" w:type="dxa"/>
              <w:left w:w="100" w:type="dxa"/>
              <w:bottom w:w="100" w:type="dxa"/>
              <w:right w:w="100" w:type="dxa"/>
            </w:tcMar>
          </w:tcPr>
          <w:p w14:paraId="5A6DF35C" w14:textId="77777777" w:rsidR="004B58A6" w:rsidRPr="006D09CB" w:rsidRDefault="004B58A6" w:rsidP="00EC726A">
            <w:pPr>
              <w:jc w:val="left"/>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 xml:space="preserve">структурні підрозділи </w:t>
            </w:r>
          </w:p>
          <w:p w14:paraId="33F171B2" w14:textId="6625E60F" w:rsidR="004B58A6" w:rsidRPr="006D09CB" w:rsidRDefault="00F66D00" w:rsidP="00EC726A">
            <w:pPr>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обласної державної адміністрації</w:t>
            </w:r>
            <w:r w:rsidR="004B58A6" w:rsidRPr="006D09CB">
              <w:rPr>
                <w:rFonts w:ascii="Times New Roman" w:eastAsia="Times New Roman" w:hAnsi="Times New Roman" w:cs="Times New Roman"/>
                <w:sz w:val="24"/>
                <w:szCs w:val="24"/>
                <w:lang w:val="uk-UA"/>
              </w:rPr>
              <w:t xml:space="preserve">іністрації, </w:t>
            </w:r>
            <w:r w:rsidR="00EC726A">
              <w:rPr>
                <w:rFonts w:ascii="Times New Roman" w:eastAsia="Times New Roman" w:hAnsi="Times New Roman" w:cs="Times New Roman"/>
                <w:sz w:val="24"/>
                <w:szCs w:val="24"/>
                <w:lang w:val="uk-UA"/>
              </w:rPr>
              <w:t>РВА, ВА</w:t>
            </w:r>
          </w:p>
        </w:tc>
        <w:tc>
          <w:tcPr>
            <w:tcW w:w="1418" w:type="dxa"/>
            <w:shd w:val="clear" w:color="auto" w:fill="auto"/>
            <w:tcMar>
              <w:top w:w="100" w:type="dxa"/>
              <w:left w:w="100" w:type="dxa"/>
              <w:bottom w:w="100" w:type="dxa"/>
              <w:right w:w="100" w:type="dxa"/>
            </w:tcMar>
          </w:tcPr>
          <w:p w14:paraId="50A3972D" w14:textId="52867D05" w:rsidR="004B58A6" w:rsidRPr="006D09CB" w:rsidRDefault="004B58A6" w:rsidP="00C10BD1">
            <w:pPr>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31.12.2024</w:t>
            </w:r>
          </w:p>
        </w:tc>
        <w:tc>
          <w:tcPr>
            <w:tcW w:w="1418" w:type="dxa"/>
            <w:shd w:val="clear" w:color="auto" w:fill="auto"/>
            <w:tcMar>
              <w:top w:w="100" w:type="dxa"/>
              <w:left w:w="100" w:type="dxa"/>
              <w:bottom w:w="100" w:type="dxa"/>
              <w:right w:w="100" w:type="dxa"/>
            </w:tcMar>
          </w:tcPr>
          <w:p w14:paraId="2EEB6733" w14:textId="4BFBFDBB" w:rsidR="004B58A6" w:rsidRPr="006D09CB" w:rsidRDefault="004B58A6" w:rsidP="00C10BD1">
            <w:pPr>
              <w:ind w:left="45"/>
              <w:rPr>
                <w:rFonts w:ascii="Times New Roman" w:eastAsia="Times New Roman" w:hAnsi="Times New Roman" w:cs="Times New Roman"/>
                <w:sz w:val="24"/>
                <w:szCs w:val="24"/>
                <w:lang w:val="uk-UA"/>
              </w:rPr>
            </w:pPr>
            <w:r w:rsidRPr="006D09CB">
              <w:rPr>
                <w:rFonts w:ascii="Times New Roman" w:eastAsia="Times New Roman" w:hAnsi="Times New Roman" w:cs="Times New Roman"/>
                <w:sz w:val="24"/>
                <w:szCs w:val="24"/>
                <w:lang w:val="uk-UA"/>
              </w:rPr>
              <w:t>30.0</w:t>
            </w:r>
            <w:r w:rsidR="00475418">
              <w:rPr>
                <w:rFonts w:ascii="Times New Roman" w:eastAsia="Times New Roman" w:hAnsi="Times New Roman" w:cs="Times New Roman"/>
                <w:sz w:val="24"/>
                <w:szCs w:val="24"/>
                <w:lang w:val="uk-UA"/>
              </w:rPr>
              <w:t>9</w:t>
            </w:r>
            <w:r w:rsidRPr="006D09CB">
              <w:rPr>
                <w:rFonts w:ascii="Times New Roman" w:eastAsia="Times New Roman" w:hAnsi="Times New Roman" w:cs="Times New Roman"/>
                <w:sz w:val="24"/>
                <w:szCs w:val="24"/>
                <w:lang w:val="uk-UA"/>
              </w:rPr>
              <w:t>.2023</w:t>
            </w:r>
          </w:p>
        </w:tc>
        <w:tc>
          <w:tcPr>
            <w:tcW w:w="1558" w:type="dxa"/>
            <w:shd w:val="clear" w:color="auto" w:fill="auto"/>
            <w:tcMar>
              <w:top w:w="100" w:type="dxa"/>
              <w:left w:w="100" w:type="dxa"/>
              <w:bottom w:w="100" w:type="dxa"/>
              <w:right w:w="100" w:type="dxa"/>
            </w:tcMar>
          </w:tcPr>
          <w:p w14:paraId="17E2DECE" w14:textId="52653724" w:rsidR="004B58A6" w:rsidRPr="00EC726A" w:rsidRDefault="004B58A6" w:rsidP="00C10BD1">
            <w:pPr>
              <w:rPr>
                <w:rFonts w:ascii="Times New Roman" w:eastAsia="Times New Roman" w:hAnsi="Times New Roman" w:cs="Times New Roman"/>
                <w:iCs/>
                <w:sz w:val="24"/>
                <w:szCs w:val="24"/>
                <w:lang w:val="uk-UA"/>
              </w:rPr>
            </w:pPr>
            <w:r w:rsidRPr="00EC726A">
              <w:rPr>
                <w:rFonts w:ascii="Times New Roman" w:eastAsia="Times New Roman" w:hAnsi="Times New Roman" w:cs="Times New Roman"/>
                <w:iCs/>
                <w:sz w:val="24"/>
                <w:szCs w:val="24"/>
                <w:lang w:val="uk-UA"/>
              </w:rPr>
              <w:t>виконується</w:t>
            </w:r>
          </w:p>
        </w:tc>
        <w:tc>
          <w:tcPr>
            <w:tcW w:w="5471" w:type="dxa"/>
            <w:shd w:val="clear" w:color="auto" w:fill="auto"/>
            <w:tcMar>
              <w:top w:w="100" w:type="dxa"/>
              <w:left w:w="100" w:type="dxa"/>
              <w:bottom w:w="100" w:type="dxa"/>
              <w:right w:w="100" w:type="dxa"/>
            </w:tcMar>
          </w:tcPr>
          <w:p w14:paraId="758A3F0D" w14:textId="6CA84084" w:rsidR="004B58A6" w:rsidRPr="008B006B" w:rsidRDefault="008B006B" w:rsidP="00E90D14">
            <w:pPr>
              <w:jc w:val="left"/>
              <w:rPr>
                <w:rFonts w:ascii="Times New Roman" w:eastAsia="Times New Roman" w:hAnsi="Times New Roman" w:cs="Times New Roman"/>
                <w:sz w:val="24"/>
                <w:szCs w:val="24"/>
                <w:lang w:val="uk-UA"/>
              </w:rPr>
            </w:pPr>
            <w:r w:rsidRPr="008B006B">
              <w:rPr>
                <w:rFonts w:ascii="Times New Roman" w:eastAsia="Times New Roman" w:hAnsi="Times New Roman" w:cs="Times New Roman"/>
                <w:sz w:val="24"/>
                <w:szCs w:val="24"/>
                <w:lang w:val="uk-UA"/>
              </w:rPr>
              <w:t>у</w:t>
            </w:r>
            <w:r w:rsidR="00FC773A" w:rsidRPr="008B006B">
              <w:rPr>
                <w:rFonts w:ascii="Times New Roman" w:eastAsia="Times New Roman" w:hAnsi="Times New Roman" w:cs="Times New Roman"/>
                <w:sz w:val="24"/>
                <w:szCs w:val="24"/>
              </w:rPr>
              <w:t xml:space="preserve"> зустрічі прийняли участь 47 посадових осіб, а саме:  30 – співробітники ВА</w:t>
            </w:r>
            <w:r w:rsidR="008B3BAF">
              <w:rPr>
                <w:rFonts w:ascii="Times New Roman" w:eastAsia="Times New Roman" w:hAnsi="Times New Roman" w:cs="Times New Roman"/>
                <w:sz w:val="24"/>
                <w:szCs w:val="24"/>
                <w:lang w:val="uk-UA"/>
              </w:rPr>
              <w:t xml:space="preserve"> населених пунктів</w:t>
            </w:r>
            <w:bookmarkStart w:id="3" w:name="_GoBack"/>
            <w:bookmarkEnd w:id="3"/>
            <w:r w:rsidR="00FC773A" w:rsidRPr="008B006B">
              <w:rPr>
                <w:rFonts w:ascii="Times New Roman" w:eastAsia="Times New Roman" w:hAnsi="Times New Roman" w:cs="Times New Roman"/>
                <w:sz w:val="24"/>
                <w:szCs w:val="24"/>
              </w:rPr>
              <w:t>; 4 – РВА; 13 – структурних підрозділів обласної державної адміністрації. За результатами зустрічі складено протокол.</w:t>
            </w:r>
          </w:p>
        </w:tc>
      </w:tr>
    </w:tbl>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
        <w:gridCol w:w="2543"/>
        <w:gridCol w:w="2268"/>
        <w:gridCol w:w="1417"/>
        <w:gridCol w:w="1560"/>
        <w:gridCol w:w="1417"/>
        <w:gridCol w:w="5528"/>
      </w:tblGrid>
      <w:tr w:rsidR="005E7D3A" w:rsidRPr="005E7D3A" w14:paraId="78BDFEA0" w14:textId="77777777" w:rsidTr="00E90D14">
        <w:trPr>
          <w:trHeight w:val="195"/>
        </w:trPr>
        <w:tc>
          <w:tcPr>
            <w:tcW w:w="14742" w:type="dxa"/>
            <w:gridSpan w:val="7"/>
            <w:tcMar>
              <w:top w:w="100" w:type="dxa"/>
              <w:left w:w="100" w:type="dxa"/>
              <w:bottom w:w="100" w:type="dxa"/>
              <w:right w:w="100" w:type="dxa"/>
            </w:tcMar>
          </w:tcPr>
          <w:p w14:paraId="2319D142" w14:textId="1A2EB9C6" w:rsidR="00C10BD1" w:rsidRPr="00C10BD1" w:rsidRDefault="005E7D3A" w:rsidP="00E90D14">
            <w:pPr>
              <w:rPr>
                <w:rFonts w:ascii="Times New Roman" w:eastAsia="Times New Roman" w:hAnsi="Times New Roman" w:cs="Times New Roman"/>
                <w:b/>
                <w:bCs/>
                <w:sz w:val="24"/>
                <w:szCs w:val="24"/>
                <w:lang w:val="uk-UA"/>
              </w:rPr>
            </w:pPr>
            <w:r w:rsidRPr="005E7D3A">
              <w:rPr>
                <w:rFonts w:ascii="Times New Roman" w:eastAsia="Times New Roman" w:hAnsi="Times New Roman" w:cs="Times New Roman"/>
                <w:b/>
                <w:bCs/>
                <w:sz w:val="24"/>
                <w:szCs w:val="24"/>
                <w:lang w:val="uk-UA"/>
              </w:rPr>
              <w:t>Напрям ІІІ. Суспільна та громадянська безбар’єрність:</w:t>
            </w:r>
          </w:p>
          <w:p w14:paraId="6F2BA74C" w14:textId="7CDC1B8C" w:rsidR="005E7D3A" w:rsidRPr="005E7D3A" w:rsidRDefault="005E7D3A" w:rsidP="00E90D14">
            <w:pPr>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lastRenderedPageBreak/>
              <w:t>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передумову для участі у всіх формах суспільного життя та громадської активності</w:t>
            </w:r>
          </w:p>
        </w:tc>
      </w:tr>
      <w:tr w:rsidR="005E7D3A" w:rsidRPr="005E7D3A" w14:paraId="05C745C1" w14:textId="77777777" w:rsidTr="00E90D14">
        <w:trPr>
          <w:trHeight w:val="120"/>
        </w:trPr>
        <w:tc>
          <w:tcPr>
            <w:tcW w:w="14742" w:type="dxa"/>
            <w:gridSpan w:val="7"/>
            <w:tcMar>
              <w:top w:w="100" w:type="dxa"/>
              <w:left w:w="100" w:type="dxa"/>
              <w:bottom w:w="100" w:type="dxa"/>
              <w:right w:w="100" w:type="dxa"/>
            </w:tcMar>
          </w:tcPr>
          <w:p w14:paraId="5894434E" w14:textId="77777777" w:rsidR="00C10BD1" w:rsidRDefault="005E7D3A" w:rsidP="00E90D14">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lastRenderedPageBreak/>
              <w:t xml:space="preserve">Стратегічна ціль: різні групи населення користуються рівними правами та можливостями </w:t>
            </w:r>
          </w:p>
          <w:p w14:paraId="2BDE2F3F" w14:textId="0D999921" w:rsidR="005E7D3A" w:rsidRPr="005E7D3A" w:rsidRDefault="005E7D3A" w:rsidP="00E90D14">
            <w:pPr>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для соціального залучення та громадянської участі</w:t>
            </w:r>
          </w:p>
        </w:tc>
      </w:tr>
      <w:tr w:rsidR="005E7D3A" w:rsidRPr="005E7D3A" w14:paraId="475118E7" w14:textId="77777777" w:rsidTr="00E90D14">
        <w:trPr>
          <w:trHeight w:val="75"/>
        </w:trPr>
        <w:tc>
          <w:tcPr>
            <w:tcW w:w="14742" w:type="dxa"/>
            <w:gridSpan w:val="7"/>
            <w:tcMar>
              <w:top w:w="100" w:type="dxa"/>
              <w:left w:w="100" w:type="dxa"/>
              <w:bottom w:w="100" w:type="dxa"/>
              <w:right w:w="100" w:type="dxa"/>
            </w:tcMar>
          </w:tcPr>
          <w:p w14:paraId="48CBA3A0" w14:textId="77777777" w:rsidR="005E7D3A" w:rsidRPr="005E7D3A" w:rsidRDefault="005E7D3A" w:rsidP="00E90D14">
            <w:pPr>
              <w:numPr>
                <w:ilvl w:val="0"/>
                <w:numId w:val="2"/>
              </w:numPr>
              <w:ind w:left="0"/>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Забезпечено різні групи населення рівними правами та можливостями для соціального залучення та громадської участі</w:t>
            </w:r>
          </w:p>
        </w:tc>
      </w:tr>
      <w:tr w:rsidR="005E7D3A" w:rsidRPr="005E7D3A" w14:paraId="49DBF05D" w14:textId="77777777" w:rsidTr="00C114E5">
        <w:trPr>
          <w:trHeight w:val="450"/>
        </w:trPr>
        <w:tc>
          <w:tcPr>
            <w:tcW w:w="2552" w:type="dxa"/>
            <w:gridSpan w:val="2"/>
            <w:shd w:val="clear" w:color="auto" w:fill="auto"/>
            <w:tcMar>
              <w:top w:w="100" w:type="dxa"/>
              <w:left w:w="100" w:type="dxa"/>
              <w:bottom w:w="100" w:type="dxa"/>
              <w:right w:w="100" w:type="dxa"/>
            </w:tcMar>
          </w:tcPr>
          <w:p w14:paraId="0D351F5A" w14:textId="77777777" w:rsidR="005E7D3A" w:rsidRPr="005E7D3A" w:rsidRDefault="005E7D3A" w:rsidP="00E90D14">
            <w:pPr>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1) забезпечити участь молоді області у міжрегіональних обмінах молоддю, у т. ч. з інвалідністю та із числа внутрішньо переміщених осіб (далі – ВПО), яка постраждала внаслідок війни, шляхом залучення до проведення форумів, засідань «круглого столу», семінарів та інших заходів з питань відновлення країни</w:t>
            </w:r>
          </w:p>
        </w:tc>
        <w:tc>
          <w:tcPr>
            <w:tcW w:w="2268" w:type="dxa"/>
            <w:shd w:val="clear" w:color="auto" w:fill="auto"/>
            <w:tcMar>
              <w:top w:w="100" w:type="dxa"/>
              <w:left w:w="100" w:type="dxa"/>
              <w:bottom w:w="100" w:type="dxa"/>
              <w:right w:w="100" w:type="dxa"/>
            </w:tcMar>
          </w:tcPr>
          <w:p w14:paraId="4A007378" w14:textId="7363EC0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Управління молоді та спорту обласної держа</w:t>
            </w:r>
            <w:r w:rsidR="00E90D14">
              <w:rPr>
                <w:rFonts w:ascii="Times New Roman" w:eastAsia="Times New Roman" w:hAnsi="Times New Roman" w:cs="Times New Roman"/>
                <w:sz w:val="24"/>
                <w:szCs w:val="24"/>
                <w:lang w:val="uk-UA"/>
              </w:rPr>
              <w:t>вної а</w:t>
            </w:r>
            <w:r w:rsidRPr="005E7D3A">
              <w:rPr>
                <w:rFonts w:ascii="Times New Roman" w:eastAsia="Times New Roman" w:hAnsi="Times New Roman" w:cs="Times New Roman"/>
                <w:sz w:val="24"/>
                <w:szCs w:val="24"/>
                <w:lang w:val="uk-UA"/>
              </w:rPr>
              <w:t>дміністрації, ОКУ «Луганський обласний центр підтримки молодіжних ініціатив та соціальних досліджень», «Луганський обласний центр соціокультурної адаптації молоді з обмеженими фізичними можливостями», ВА</w:t>
            </w:r>
          </w:p>
        </w:tc>
        <w:tc>
          <w:tcPr>
            <w:tcW w:w="1417" w:type="dxa"/>
            <w:shd w:val="clear" w:color="auto" w:fill="auto"/>
            <w:tcMar>
              <w:top w:w="100" w:type="dxa"/>
              <w:left w:w="100" w:type="dxa"/>
              <w:bottom w:w="100" w:type="dxa"/>
              <w:right w:w="100" w:type="dxa"/>
            </w:tcMar>
          </w:tcPr>
          <w:p w14:paraId="0E5AB024" w14:textId="7777777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01.05.2023</w:t>
            </w:r>
          </w:p>
        </w:tc>
        <w:tc>
          <w:tcPr>
            <w:tcW w:w="1560" w:type="dxa"/>
            <w:shd w:val="clear" w:color="auto" w:fill="auto"/>
            <w:tcMar>
              <w:top w:w="100" w:type="dxa"/>
              <w:left w:w="100" w:type="dxa"/>
              <w:bottom w:w="100" w:type="dxa"/>
              <w:right w:w="100" w:type="dxa"/>
            </w:tcMar>
          </w:tcPr>
          <w:p w14:paraId="48241DFC" w14:textId="77777777" w:rsidR="005E7D3A" w:rsidRPr="005E7D3A" w:rsidRDefault="005E7D3A" w:rsidP="00E341A2">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30.09.2023</w:t>
            </w:r>
          </w:p>
        </w:tc>
        <w:tc>
          <w:tcPr>
            <w:tcW w:w="1417" w:type="dxa"/>
            <w:shd w:val="clear" w:color="auto" w:fill="auto"/>
            <w:tcMar>
              <w:top w:w="100" w:type="dxa"/>
              <w:left w:w="100" w:type="dxa"/>
              <w:bottom w:w="100" w:type="dxa"/>
              <w:right w:w="100" w:type="dxa"/>
            </w:tcMar>
          </w:tcPr>
          <w:p w14:paraId="2C9F1C46" w14:textId="59E4BB7E" w:rsidR="005E7D3A" w:rsidRPr="005E7D3A" w:rsidRDefault="00C114E5" w:rsidP="00C114E5">
            <w:pPr>
              <w:ind w:left="-99" w:right="-106"/>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E7D3A" w:rsidRPr="005E7D3A">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6F0C6718" w14:textId="58214534" w:rsidR="005E7D3A" w:rsidRPr="005E7D3A" w:rsidRDefault="00411101" w:rsidP="00E90D14">
            <w:pPr>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0003439B" w:rsidRPr="008B006B">
              <w:rPr>
                <w:rFonts w:ascii="Times New Roman" w:eastAsia="Times New Roman" w:hAnsi="Times New Roman" w:cs="Times New Roman"/>
                <w:sz w:val="24"/>
                <w:szCs w:val="24"/>
                <w:lang w:val="uk-UA"/>
              </w:rPr>
              <w:t>абезпечено  участь  210 осіб з числа  молоді області у міжрегіональних обмінах молоддю, у т. ч. з інвалідністю та із числа внутрішньо переміщених осіб, яка постраждала внаслідок війни. Зокрема, молодь взяла участь у навчальному курсі «Нові можливості на новому місці: важливі навички для працевлаштування та фінансової стабільності ВПО», проєкті «Діалоги Перемоги», тренінговому занятті «Як ставити цілі, які надихають», марафоні «Обдарована молодь» до Дня молоді</w:t>
            </w:r>
            <w:r w:rsidR="008B006B">
              <w:rPr>
                <w:rFonts w:ascii="Times New Roman" w:eastAsia="Times New Roman" w:hAnsi="Times New Roman" w:cs="Times New Roman"/>
                <w:sz w:val="24"/>
                <w:szCs w:val="24"/>
                <w:lang w:val="uk-UA"/>
              </w:rPr>
              <w:t>.</w:t>
            </w:r>
          </w:p>
        </w:tc>
      </w:tr>
      <w:tr w:rsidR="005E7D3A" w:rsidRPr="005E7D3A" w14:paraId="352D6C76" w14:textId="77777777" w:rsidTr="00C114E5">
        <w:trPr>
          <w:trHeight w:val="450"/>
        </w:trPr>
        <w:tc>
          <w:tcPr>
            <w:tcW w:w="2552" w:type="dxa"/>
            <w:gridSpan w:val="2"/>
            <w:shd w:val="clear" w:color="auto" w:fill="auto"/>
            <w:tcMar>
              <w:top w:w="100" w:type="dxa"/>
              <w:left w:w="100" w:type="dxa"/>
              <w:bottom w:w="100" w:type="dxa"/>
              <w:right w:w="100" w:type="dxa"/>
            </w:tcMar>
          </w:tcPr>
          <w:p w14:paraId="15A10850" w14:textId="77777777" w:rsidR="005E7D3A" w:rsidRPr="005E7D3A" w:rsidRDefault="005E7D3A" w:rsidP="00E90D14">
            <w:pPr>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 xml:space="preserve">2) організувати роботу Співдія хабів </w:t>
            </w:r>
            <w:r w:rsidRPr="005E7D3A">
              <w:rPr>
                <w:rFonts w:ascii="Times New Roman" w:eastAsia="Times New Roman" w:hAnsi="Times New Roman" w:cs="Times New Roman"/>
                <w:sz w:val="24"/>
                <w:szCs w:val="24"/>
                <w:lang w:val="uk-UA"/>
              </w:rPr>
              <w:lastRenderedPageBreak/>
              <w:t>платформи «Співдія» на базі молодіжних центрів та молодіжних просторів з надання послуг, у т. ч. онлайн, діяльність яких спрямована на забезпечення безбар’єрного доступу, соціальної та громадської адаптації всіх груп населення, зокрема постраждалих внаслідок війни, у т. ч. молоді з інвалідністю та із числа ВПО, до гуманітарної, психологічної та юридичної підтримки, кар’єрного консультування, послуг з неформальної освіти тощо</w:t>
            </w:r>
          </w:p>
        </w:tc>
        <w:tc>
          <w:tcPr>
            <w:tcW w:w="2268" w:type="dxa"/>
            <w:shd w:val="clear" w:color="auto" w:fill="auto"/>
            <w:tcMar>
              <w:top w:w="100" w:type="dxa"/>
              <w:left w:w="100" w:type="dxa"/>
              <w:bottom w:w="100" w:type="dxa"/>
              <w:right w:w="100" w:type="dxa"/>
            </w:tcMar>
          </w:tcPr>
          <w:p w14:paraId="5DC8A773" w14:textId="01ADE3A9"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lastRenderedPageBreak/>
              <w:t xml:space="preserve">Управління молоді та спорту обласної </w:t>
            </w:r>
            <w:r w:rsidRPr="005E7D3A">
              <w:rPr>
                <w:rFonts w:ascii="Times New Roman" w:eastAsia="Times New Roman" w:hAnsi="Times New Roman" w:cs="Times New Roman"/>
                <w:sz w:val="24"/>
                <w:szCs w:val="24"/>
                <w:lang w:val="uk-UA"/>
              </w:rPr>
              <w:lastRenderedPageBreak/>
              <w:t>держ</w:t>
            </w:r>
            <w:r w:rsidR="00E90D14">
              <w:rPr>
                <w:rFonts w:ascii="Times New Roman" w:eastAsia="Times New Roman" w:hAnsi="Times New Roman" w:cs="Times New Roman"/>
                <w:sz w:val="24"/>
                <w:szCs w:val="24"/>
                <w:lang w:val="uk-UA"/>
              </w:rPr>
              <w:t xml:space="preserve">авної </w:t>
            </w:r>
            <w:r w:rsidRPr="005E7D3A">
              <w:rPr>
                <w:rFonts w:ascii="Times New Roman" w:eastAsia="Times New Roman" w:hAnsi="Times New Roman" w:cs="Times New Roman"/>
                <w:sz w:val="24"/>
                <w:szCs w:val="24"/>
                <w:lang w:val="uk-UA"/>
              </w:rPr>
              <w:t>адміністрації, ОКУ «Луганський обласний центр підтримки молодіжних ініціатив та соціальних досліджень», «Луганський обласний центр соціокультурної адаптації молоді з обмеженими фізичними можливостями», ВА</w:t>
            </w:r>
          </w:p>
        </w:tc>
        <w:tc>
          <w:tcPr>
            <w:tcW w:w="1417" w:type="dxa"/>
            <w:shd w:val="clear" w:color="auto" w:fill="auto"/>
            <w:tcMar>
              <w:top w:w="100" w:type="dxa"/>
              <w:left w:w="100" w:type="dxa"/>
              <w:bottom w:w="100" w:type="dxa"/>
              <w:right w:w="100" w:type="dxa"/>
            </w:tcMar>
          </w:tcPr>
          <w:p w14:paraId="75CCBE11" w14:textId="7777777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lastRenderedPageBreak/>
              <w:t>01.05.2023</w:t>
            </w:r>
          </w:p>
        </w:tc>
        <w:tc>
          <w:tcPr>
            <w:tcW w:w="1560" w:type="dxa"/>
            <w:shd w:val="clear" w:color="auto" w:fill="auto"/>
            <w:tcMar>
              <w:top w:w="100" w:type="dxa"/>
              <w:left w:w="100" w:type="dxa"/>
              <w:bottom w:w="100" w:type="dxa"/>
              <w:right w:w="100" w:type="dxa"/>
            </w:tcMar>
          </w:tcPr>
          <w:p w14:paraId="4AA48378" w14:textId="686966EF" w:rsidR="005E7D3A" w:rsidRPr="005E7D3A" w:rsidRDefault="005E7D3A" w:rsidP="00E341A2">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3</w:t>
            </w:r>
            <w:r w:rsidR="006E55B7">
              <w:rPr>
                <w:rFonts w:ascii="Times New Roman" w:eastAsia="Times New Roman" w:hAnsi="Times New Roman" w:cs="Times New Roman"/>
                <w:sz w:val="24"/>
                <w:szCs w:val="24"/>
                <w:lang w:val="uk-UA"/>
              </w:rPr>
              <w:t>0</w:t>
            </w:r>
            <w:r w:rsidRPr="005E7D3A">
              <w:rPr>
                <w:rFonts w:ascii="Times New Roman" w:eastAsia="Times New Roman" w:hAnsi="Times New Roman" w:cs="Times New Roman"/>
                <w:sz w:val="24"/>
                <w:szCs w:val="24"/>
                <w:lang w:val="uk-UA"/>
              </w:rPr>
              <w:t>.</w:t>
            </w:r>
            <w:r w:rsidR="006E55B7">
              <w:rPr>
                <w:rFonts w:ascii="Times New Roman" w:eastAsia="Times New Roman" w:hAnsi="Times New Roman" w:cs="Times New Roman"/>
                <w:sz w:val="24"/>
                <w:szCs w:val="24"/>
                <w:lang w:val="uk-UA"/>
              </w:rPr>
              <w:t>09</w:t>
            </w:r>
            <w:r w:rsidRPr="005E7D3A">
              <w:rPr>
                <w:rFonts w:ascii="Times New Roman" w:eastAsia="Times New Roman" w:hAnsi="Times New Roman" w:cs="Times New Roman"/>
                <w:sz w:val="24"/>
                <w:szCs w:val="24"/>
                <w:lang w:val="uk-UA"/>
              </w:rPr>
              <w:t>.2023</w:t>
            </w:r>
          </w:p>
        </w:tc>
        <w:tc>
          <w:tcPr>
            <w:tcW w:w="1417" w:type="dxa"/>
            <w:shd w:val="clear" w:color="auto" w:fill="auto"/>
            <w:tcMar>
              <w:top w:w="100" w:type="dxa"/>
              <w:left w:w="100" w:type="dxa"/>
              <w:bottom w:w="100" w:type="dxa"/>
              <w:right w:w="100" w:type="dxa"/>
            </w:tcMar>
          </w:tcPr>
          <w:p w14:paraId="24545EA6" w14:textId="77777777" w:rsidR="005E7D3A" w:rsidRPr="005E7D3A" w:rsidRDefault="005E7D3A" w:rsidP="00725917">
            <w:pPr>
              <w:ind w:right="-106"/>
              <w:jc w:val="both"/>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11674B55" w14:textId="6DF122A8" w:rsidR="005A511B" w:rsidRPr="008B006B" w:rsidRDefault="00411101" w:rsidP="005A511B">
            <w:pPr>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w:t>
            </w:r>
            <w:r w:rsidR="005A511B" w:rsidRPr="005A511B">
              <w:rPr>
                <w:rFonts w:ascii="Times New Roman" w:eastAsia="Times New Roman" w:hAnsi="Times New Roman" w:cs="Times New Roman"/>
                <w:sz w:val="24"/>
                <w:szCs w:val="24"/>
                <w:lang w:val="uk-UA"/>
              </w:rPr>
              <w:t xml:space="preserve">ідкрито </w:t>
            </w:r>
            <w:r w:rsidR="005A511B" w:rsidRPr="008B006B">
              <w:rPr>
                <w:rFonts w:ascii="Times New Roman" w:eastAsia="Times New Roman" w:hAnsi="Times New Roman" w:cs="Times New Roman"/>
                <w:sz w:val="24"/>
                <w:szCs w:val="24"/>
                <w:lang w:val="uk-UA"/>
              </w:rPr>
              <w:t xml:space="preserve">Ресурсний центр молоді Луганщини у м. Чернівці, в якому проводяться заходи, в тому числі </w:t>
            </w:r>
            <w:r w:rsidR="005A511B" w:rsidRPr="008B006B">
              <w:rPr>
                <w:rFonts w:ascii="Times New Roman" w:eastAsia="Times New Roman" w:hAnsi="Times New Roman" w:cs="Times New Roman"/>
                <w:sz w:val="24"/>
                <w:szCs w:val="24"/>
                <w:lang w:val="uk-UA"/>
              </w:rPr>
              <w:lastRenderedPageBreak/>
              <w:t>направлені на забезпечення соціальної та громадської адаптації всіх груп населення, зокрема постраждалих внаслідок війни, у т. ч. молоді з інвалідністю та із числа ВПО, до гуманітарної, психологічної та юридичної підтримки, кар’єрного консультування, послуг з неформальної освіти тощо.</w:t>
            </w:r>
          </w:p>
          <w:p w14:paraId="7F608724" w14:textId="42C1B02E" w:rsidR="005E7D3A" w:rsidRPr="005E7D3A" w:rsidRDefault="005A511B" w:rsidP="005A511B">
            <w:pPr>
              <w:jc w:val="left"/>
              <w:rPr>
                <w:rFonts w:ascii="Times New Roman" w:eastAsia="Times New Roman" w:hAnsi="Times New Roman" w:cs="Times New Roman"/>
                <w:sz w:val="24"/>
                <w:szCs w:val="24"/>
                <w:lang w:val="uk-UA"/>
              </w:rPr>
            </w:pPr>
            <w:r w:rsidRPr="008B006B">
              <w:rPr>
                <w:rFonts w:ascii="Times New Roman" w:eastAsia="Times New Roman" w:hAnsi="Times New Roman" w:cs="Times New Roman"/>
                <w:sz w:val="24"/>
                <w:szCs w:val="24"/>
                <w:lang w:val="uk-UA"/>
              </w:rPr>
              <w:t>Також, для молоді та дітей з інвалідністю та із числа ВПО на постійній основі  проходять онлайн заняття вокальної студії «Тоніка», вебінари з театрально-хореографічного жанру «Талант-клуб», онлайн вебінари з Арт-лабораторія: «Діти+», онлайн вебінари з вивчення української мови, он-лайн консультації лікаря загальної медицини «Як практично позбутися хворобливих станів та захворювань». Проведено соціально-правові консультації для родин дітей та молоді з інвалідністю в рамках програми «Твої права – твої можливості».</w:t>
            </w:r>
          </w:p>
        </w:tc>
      </w:tr>
      <w:tr w:rsidR="00E567F4" w:rsidRPr="005E7D3A" w14:paraId="7434081A" w14:textId="77777777" w:rsidTr="00C114E5">
        <w:trPr>
          <w:trHeight w:val="450"/>
        </w:trPr>
        <w:tc>
          <w:tcPr>
            <w:tcW w:w="2552" w:type="dxa"/>
            <w:gridSpan w:val="2"/>
            <w:shd w:val="clear" w:color="auto" w:fill="auto"/>
            <w:tcMar>
              <w:top w:w="100" w:type="dxa"/>
              <w:left w:w="100" w:type="dxa"/>
              <w:bottom w:w="100" w:type="dxa"/>
              <w:right w:w="100" w:type="dxa"/>
            </w:tcMar>
          </w:tcPr>
          <w:p w14:paraId="2AA6B26D" w14:textId="77777777" w:rsidR="00E567F4" w:rsidRPr="005E7D3A" w:rsidRDefault="00E567F4" w:rsidP="00E567F4">
            <w:pPr>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lastRenderedPageBreak/>
              <w:t xml:space="preserve">3) забезпечити участь спортсменів з інвалідністю у всеукраїнських спортивних змаганнях </w:t>
            </w:r>
            <w:r w:rsidRPr="005E7D3A">
              <w:rPr>
                <w:rFonts w:ascii="Times New Roman" w:eastAsia="Times New Roman" w:hAnsi="Times New Roman" w:cs="Times New Roman"/>
                <w:sz w:val="24"/>
                <w:szCs w:val="24"/>
                <w:lang w:val="uk-UA"/>
              </w:rPr>
              <w:lastRenderedPageBreak/>
              <w:t>серед осіб з інвалідністю</w:t>
            </w:r>
          </w:p>
        </w:tc>
        <w:tc>
          <w:tcPr>
            <w:tcW w:w="2268" w:type="dxa"/>
            <w:shd w:val="clear" w:color="auto" w:fill="auto"/>
            <w:tcMar>
              <w:top w:w="100" w:type="dxa"/>
              <w:left w:w="100" w:type="dxa"/>
              <w:bottom w:w="100" w:type="dxa"/>
              <w:right w:w="100" w:type="dxa"/>
            </w:tcMar>
          </w:tcPr>
          <w:p w14:paraId="5817C4FB" w14:textId="77777777" w:rsidR="00E567F4" w:rsidRPr="005E7D3A" w:rsidRDefault="00E567F4" w:rsidP="00E567F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lastRenderedPageBreak/>
              <w:t>Регіональний центр «Інваспорт»</w:t>
            </w:r>
          </w:p>
        </w:tc>
        <w:tc>
          <w:tcPr>
            <w:tcW w:w="1417" w:type="dxa"/>
            <w:shd w:val="clear" w:color="auto" w:fill="auto"/>
            <w:tcMar>
              <w:top w:w="100" w:type="dxa"/>
              <w:left w:w="100" w:type="dxa"/>
              <w:bottom w:w="100" w:type="dxa"/>
              <w:right w:w="100" w:type="dxa"/>
            </w:tcMar>
          </w:tcPr>
          <w:p w14:paraId="22ECB2AB" w14:textId="77777777" w:rsidR="00E567F4" w:rsidRPr="005E7D3A" w:rsidRDefault="00E567F4" w:rsidP="00E567F4">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01.05.2023</w:t>
            </w:r>
          </w:p>
        </w:tc>
        <w:tc>
          <w:tcPr>
            <w:tcW w:w="1560" w:type="dxa"/>
            <w:shd w:val="clear" w:color="auto" w:fill="auto"/>
            <w:tcMar>
              <w:top w:w="100" w:type="dxa"/>
              <w:left w:w="100" w:type="dxa"/>
              <w:bottom w:w="100" w:type="dxa"/>
              <w:right w:w="100" w:type="dxa"/>
            </w:tcMar>
          </w:tcPr>
          <w:p w14:paraId="6D8F09A8" w14:textId="612C27A5" w:rsidR="00E567F4" w:rsidRPr="005E7D3A" w:rsidRDefault="00E567F4" w:rsidP="00E567F4">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0</w:t>
            </w:r>
            <w:r w:rsidRPr="005E7D3A">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09</w:t>
            </w:r>
            <w:r w:rsidRPr="005E7D3A">
              <w:rPr>
                <w:rFonts w:ascii="Times New Roman" w:eastAsia="Times New Roman" w:hAnsi="Times New Roman" w:cs="Times New Roman"/>
                <w:sz w:val="24"/>
                <w:szCs w:val="24"/>
                <w:lang w:val="uk-UA"/>
              </w:rPr>
              <w:t>.2024</w:t>
            </w:r>
          </w:p>
        </w:tc>
        <w:tc>
          <w:tcPr>
            <w:tcW w:w="1417" w:type="dxa"/>
            <w:shd w:val="clear" w:color="auto" w:fill="auto"/>
            <w:tcMar>
              <w:top w:w="100" w:type="dxa"/>
              <w:left w:w="100" w:type="dxa"/>
              <w:bottom w:w="100" w:type="dxa"/>
              <w:right w:w="100" w:type="dxa"/>
            </w:tcMar>
          </w:tcPr>
          <w:p w14:paraId="2372736F" w14:textId="77777777" w:rsidR="00E567F4" w:rsidRPr="005E7D3A" w:rsidRDefault="00E567F4" w:rsidP="00E567F4">
            <w:pPr>
              <w:ind w:right="-106"/>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78C33779" w14:textId="3E83BEF1" w:rsidR="00E567F4" w:rsidRPr="005E7D3A" w:rsidRDefault="00411101" w:rsidP="00E567F4">
            <w:pPr>
              <w:jc w:val="left"/>
              <w:rPr>
                <w:rFonts w:ascii="Times New Roman" w:eastAsia="Times New Roman" w:hAnsi="Times New Roman" w:cs="Times New Roman"/>
                <w:sz w:val="24"/>
                <w:szCs w:val="24"/>
                <w:lang w:val="uk-UA"/>
              </w:rPr>
            </w:pPr>
            <w:r>
              <w:rPr>
                <w:rFonts w:ascii="Times New Roman" w:hAnsi="Times New Roman" w:cs="Times New Roman"/>
                <w:sz w:val="24"/>
                <w:szCs w:val="24"/>
                <w:lang w:val="uk-UA"/>
              </w:rPr>
              <w:t>з</w:t>
            </w:r>
            <w:r w:rsidR="00E567F4" w:rsidRPr="00505C84">
              <w:rPr>
                <w:rFonts w:ascii="Times New Roman" w:hAnsi="Times New Roman" w:cs="Times New Roman"/>
                <w:sz w:val="24"/>
                <w:szCs w:val="24"/>
              </w:rPr>
              <w:t xml:space="preserve">абезпечено участь </w:t>
            </w:r>
            <w:r w:rsidR="00E567F4">
              <w:rPr>
                <w:rFonts w:ascii="Times New Roman" w:hAnsi="Times New Roman" w:cs="Times New Roman"/>
                <w:sz w:val="24"/>
                <w:szCs w:val="24"/>
              </w:rPr>
              <w:t xml:space="preserve">2 </w:t>
            </w:r>
            <w:r w:rsidR="00E567F4" w:rsidRPr="00505C84">
              <w:rPr>
                <w:rFonts w:ascii="Times New Roman" w:hAnsi="Times New Roman" w:cs="Times New Roman"/>
                <w:sz w:val="24"/>
                <w:szCs w:val="24"/>
              </w:rPr>
              <w:t xml:space="preserve">спортсменів з інвалідністю у всеукраїнських спортивних змаганнях серед осіб з інвалідністю у Чемпіонаті Європи з легкої атлетики 14.08.2023-21.08.2023 м. Щецин (Польща), </w:t>
            </w:r>
            <w:r w:rsidR="00E567F4">
              <w:rPr>
                <w:rFonts w:ascii="Times New Roman" w:hAnsi="Times New Roman" w:cs="Times New Roman"/>
                <w:sz w:val="24"/>
                <w:szCs w:val="24"/>
              </w:rPr>
              <w:t xml:space="preserve">в Чемпіонаті Світу з пауерліфтингу </w:t>
            </w:r>
            <w:r w:rsidR="00E567F4" w:rsidRPr="00505C84">
              <w:rPr>
                <w:rFonts w:ascii="Times New Roman" w:hAnsi="Times New Roman" w:cs="Times New Roman"/>
                <w:sz w:val="24"/>
                <w:szCs w:val="24"/>
              </w:rPr>
              <w:t>19.08.2023-28.08.2023</w:t>
            </w:r>
            <w:r w:rsidR="00E567F4">
              <w:rPr>
                <w:rFonts w:ascii="Times New Roman" w:hAnsi="Times New Roman" w:cs="Times New Roman"/>
                <w:sz w:val="24"/>
                <w:szCs w:val="24"/>
              </w:rPr>
              <w:t xml:space="preserve"> </w:t>
            </w:r>
            <w:r w:rsidR="00E567F4" w:rsidRPr="00505C84">
              <w:rPr>
                <w:rFonts w:ascii="Times New Roman" w:hAnsi="Times New Roman" w:cs="Times New Roman"/>
                <w:sz w:val="24"/>
                <w:szCs w:val="24"/>
              </w:rPr>
              <w:t>м.</w:t>
            </w:r>
            <w:r w:rsidR="00E567F4">
              <w:rPr>
                <w:rFonts w:ascii="Times New Roman" w:hAnsi="Times New Roman" w:cs="Times New Roman"/>
                <w:sz w:val="24"/>
                <w:szCs w:val="24"/>
              </w:rPr>
              <w:t xml:space="preserve"> </w:t>
            </w:r>
            <w:r w:rsidR="00E567F4" w:rsidRPr="00505C84">
              <w:rPr>
                <w:rFonts w:ascii="Times New Roman" w:hAnsi="Times New Roman" w:cs="Times New Roman"/>
                <w:sz w:val="24"/>
                <w:szCs w:val="24"/>
              </w:rPr>
              <w:t>Дубаї</w:t>
            </w:r>
            <w:r w:rsidR="00E567F4">
              <w:rPr>
                <w:rFonts w:ascii="Times New Roman" w:hAnsi="Times New Roman" w:cs="Times New Roman"/>
                <w:sz w:val="24"/>
                <w:szCs w:val="24"/>
              </w:rPr>
              <w:t xml:space="preserve"> (</w:t>
            </w:r>
            <w:r w:rsidR="00E567F4" w:rsidRPr="00505C84">
              <w:rPr>
                <w:rFonts w:ascii="Times New Roman" w:hAnsi="Times New Roman" w:cs="Times New Roman"/>
                <w:sz w:val="24"/>
                <w:szCs w:val="24"/>
              </w:rPr>
              <w:t>ОАЕ</w:t>
            </w:r>
            <w:r w:rsidR="00E567F4">
              <w:rPr>
                <w:rFonts w:ascii="Times New Roman" w:hAnsi="Times New Roman" w:cs="Times New Roman"/>
                <w:sz w:val="24"/>
                <w:szCs w:val="24"/>
              </w:rPr>
              <w:t xml:space="preserve">). </w:t>
            </w:r>
          </w:p>
        </w:tc>
      </w:tr>
      <w:tr w:rsidR="00E567F4" w:rsidRPr="005E7D3A" w14:paraId="68E89005" w14:textId="77777777" w:rsidTr="00C114E5">
        <w:trPr>
          <w:trHeight w:val="450"/>
        </w:trPr>
        <w:tc>
          <w:tcPr>
            <w:tcW w:w="2552" w:type="dxa"/>
            <w:gridSpan w:val="2"/>
            <w:shd w:val="clear" w:color="auto" w:fill="auto"/>
            <w:tcMar>
              <w:top w:w="100" w:type="dxa"/>
              <w:left w:w="100" w:type="dxa"/>
              <w:bottom w:w="100" w:type="dxa"/>
              <w:right w:w="100" w:type="dxa"/>
            </w:tcMar>
          </w:tcPr>
          <w:p w14:paraId="0B27C40F" w14:textId="77777777" w:rsidR="00E567F4" w:rsidRPr="005E7D3A" w:rsidRDefault="00E567F4" w:rsidP="00E567F4">
            <w:pPr>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4) забезпечити участь осіб з інвалідністю у навчально-тренувальних зборах в Україні та за кордоном</w:t>
            </w:r>
          </w:p>
        </w:tc>
        <w:tc>
          <w:tcPr>
            <w:tcW w:w="2268" w:type="dxa"/>
            <w:shd w:val="clear" w:color="auto" w:fill="auto"/>
            <w:tcMar>
              <w:top w:w="100" w:type="dxa"/>
              <w:left w:w="100" w:type="dxa"/>
              <w:bottom w:w="100" w:type="dxa"/>
              <w:right w:w="100" w:type="dxa"/>
            </w:tcMar>
          </w:tcPr>
          <w:p w14:paraId="0F993B9C" w14:textId="77777777" w:rsidR="00E567F4" w:rsidRPr="005E7D3A" w:rsidRDefault="00E567F4" w:rsidP="00E567F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Регіональний центр «Інваспорт»</w:t>
            </w:r>
          </w:p>
        </w:tc>
        <w:tc>
          <w:tcPr>
            <w:tcW w:w="1417" w:type="dxa"/>
            <w:shd w:val="clear" w:color="auto" w:fill="auto"/>
            <w:tcMar>
              <w:top w:w="100" w:type="dxa"/>
              <w:left w:w="100" w:type="dxa"/>
              <w:bottom w:w="100" w:type="dxa"/>
              <w:right w:w="100" w:type="dxa"/>
            </w:tcMar>
          </w:tcPr>
          <w:p w14:paraId="04908014" w14:textId="77777777" w:rsidR="00E567F4" w:rsidRPr="005E7D3A" w:rsidRDefault="00E567F4" w:rsidP="00E567F4">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01.05.2023</w:t>
            </w:r>
          </w:p>
        </w:tc>
        <w:tc>
          <w:tcPr>
            <w:tcW w:w="1560" w:type="dxa"/>
            <w:shd w:val="clear" w:color="auto" w:fill="auto"/>
            <w:tcMar>
              <w:top w:w="100" w:type="dxa"/>
              <w:left w:w="100" w:type="dxa"/>
              <w:bottom w:w="100" w:type="dxa"/>
              <w:right w:w="100" w:type="dxa"/>
            </w:tcMar>
          </w:tcPr>
          <w:p w14:paraId="368E3FC8" w14:textId="2C10074C" w:rsidR="00E567F4" w:rsidRPr="005E7D3A" w:rsidRDefault="00E567F4" w:rsidP="00E567F4">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0</w:t>
            </w:r>
            <w:r w:rsidRPr="005E7D3A">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09</w:t>
            </w:r>
            <w:r w:rsidRPr="005E7D3A">
              <w:rPr>
                <w:rFonts w:ascii="Times New Roman" w:eastAsia="Times New Roman" w:hAnsi="Times New Roman" w:cs="Times New Roman"/>
                <w:sz w:val="24"/>
                <w:szCs w:val="24"/>
                <w:lang w:val="uk-UA"/>
              </w:rPr>
              <w:t>.2024</w:t>
            </w:r>
          </w:p>
        </w:tc>
        <w:tc>
          <w:tcPr>
            <w:tcW w:w="1417" w:type="dxa"/>
            <w:shd w:val="clear" w:color="auto" w:fill="auto"/>
            <w:tcMar>
              <w:top w:w="100" w:type="dxa"/>
              <w:left w:w="100" w:type="dxa"/>
              <w:bottom w:w="100" w:type="dxa"/>
              <w:right w:w="100" w:type="dxa"/>
            </w:tcMar>
          </w:tcPr>
          <w:p w14:paraId="0A319E32" w14:textId="77777777" w:rsidR="00E567F4" w:rsidRPr="005E7D3A" w:rsidRDefault="00E567F4" w:rsidP="00E567F4">
            <w:pPr>
              <w:ind w:right="-106"/>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33BE543E" w14:textId="5CB88651" w:rsidR="00E567F4" w:rsidRPr="00D74857" w:rsidRDefault="00411101" w:rsidP="00E567F4">
            <w:pPr>
              <w:jc w:val="both"/>
              <w:rPr>
                <w:rFonts w:ascii="Times New Roman" w:hAnsi="Times New Roman" w:cs="Times New Roman"/>
                <w:sz w:val="24"/>
                <w:szCs w:val="24"/>
              </w:rPr>
            </w:pPr>
            <w:r>
              <w:rPr>
                <w:rFonts w:ascii="Times New Roman" w:hAnsi="Times New Roman" w:cs="Times New Roman"/>
                <w:sz w:val="24"/>
                <w:szCs w:val="24"/>
                <w:lang w:val="uk-UA"/>
              </w:rPr>
              <w:t>з</w:t>
            </w:r>
            <w:r w:rsidR="00E567F4" w:rsidRPr="00B373BC">
              <w:rPr>
                <w:rFonts w:ascii="Times New Roman" w:hAnsi="Times New Roman" w:cs="Times New Roman"/>
                <w:sz w:val="24"/>
                <w:szCs w:val="24"/>
              </w:rPr>
              <w:t xml:space="preserve">абезпечено участь </w:t>
            </w:r>
            <w:r w:rsidR="00E567F4">
              <w:rPr>
                <w:rFonts w:ascii="Times New Roman" w:hAnsi="Times New Roman" w:cs="Times New Roman"/>
                <w:sz w:val="24"/>
                <w:szCs w:val="24"/>
              </w:rPr>
              <w:t>6</w:t>
            </w:r>
            <w:r w:rsidR="00E567F4" w:rsidRPr="00B373BC">
              <w:rPr>
                <w:rFonts w:ascii="Times New Roman" w:hAnsi="Times New Roman" w:cs="Times New Roman"/>
                <w:sz w:val="24"/>
                <w:szCs w:val="24"/>
              </w:rPr>
              <w:t xml:space="preserve"> спортсменів з інвалідністю у навчально - тренувальних  зборах з легкої атлетики (</w:t>
            </w:r>
            <w:r w:rsidR="00E567F4">
              <w:rPr>
                <w:rFonts w:ascii="Times New Roman" w:hAnsi="Times New Roman" w:cs="Times New Roman"/>
                <w:sz w:val="24"/>
                <w:szCs w:val="24"/>
              </w:rPr>
              <w:t>червень-липень</w:t>
            </w:r>
            <w:r w:rsidR="00E567F4" w:rsidRPr="00B373BC">
              <w:rPr>
                <w:rFonts w:ascii="Times New Roman" w:hAnsi="Times New Roman" w:cs="Times New Roman"/>
                <w:sz w:val="24"/>
                <w:szCs w:val="24"/>
              </w:rPr>
              <w:t xml:space="preserve">    м. Черкаси).</w:t>
            </w:r>
          </w:p>
          <w:p w14:paraId="77112C97" w14:textId="27B2AD89" w:rsidR="00E567F4" w:rsidRPr="005E7D3A" w:rsidRDefault="00E567F4" w:rsidP="00E567F4">
            <w:pPr>
              <w:jc w:val="left"/>
              <w:rPr>
                <w:rFonts w:ascii="Times New Roman" w:eastAsia="Times New Roman" w:hAnsi="Times New Roman" w:cs="Times New Roman"/>
                <w:i/>
                <w:sz w:val="24"/>
                <w:szCs w:val="24"/>
                <w:lang w:val="uk-UA"/>
              </w:rPr>
            </w:pPr>
            <w:r>
              <w:rPr>
                <w:szCs w:val="28"/>
              </w:rPr>
              <w:t xml:space="preserve"> </w:t>
            </w:r>
          </w:p>
        </w:tc>
      </w:tr>
      <w:tr w:rsidR="005E7D3A" w:rsidRPr="005E7D3A" w14:paraId="75C3D78B" w14:textId="77777777" w:rsidTr="00E90D14">
        <w:trPr>
          <w:trHeight w:val="277"/>
        </w:trPr>
        <w:tc>
          <w:tcPr>
            <w:tcW w:w="14742" w:type="dxa"/>
            <w:gridSpan w:val="7"/>
            <w:shd w:val="clear" w:color="auto" w:fill="auto"/>
            <w:tcMar>
              <w:top w:w="100" w:type="dxa"/>
              <w:left w:w="100" w:type="dxa"/>
              <w:bottom w:w="100" w:type="dxa"/>
              <w:right w:w="100" w:type="dxa"/>
            </w:tcMar>
          </w:tcPr>
          <w:p w14:paraId="3CE9F0B3" w14:textId="77777777" w:rsidR="005E7D3A" w:rsidRPr="005E7D3A" w:rsidRDefault="005E7D3A" w:rsidP="00C10BD1">
            <w:pPr>
              <w:spacing w:line="276" w:lineRule="auto"/>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Стратегічна ціль: усім громадянам доступні публічні та соціальні послуги, які відповідають міжнародним стандартам</w:t>
            </w:r>
          </w:p>
        </w:tc>
      </w:tr>
      <w:tr w:rsidR="005E7D3A" w:rsidRPr="005E7D3A" w14:paraId="70C77F04" w14:textId="77777777" w:rsidTr="00E90D14">
        <w:trPr>
          <w:trHeight w:val="328"/>
        </w:trPr>
        <w:tc>
          <w:tcPr>
            <w:tcW w:w="14742" w:type="dxa"/>
            <w:gridSpan w:val="7"/>
            <w:shd w:val="clear" w:color="auto" w:fill="auto"/>
            <w:tcMar>
              <w:top w:w="100" w:type="dxa"/>
              <w:left w:w="100" w:type="dxa"/>
              <w:bottom w:w="100" w:type="dxa"/>
              <w:right w:w="100" w:type="dxa"/>
            </w:tcMar>
          </w:tcPr>
          <w:p w14:paraId="7530EB80" w14:textId="77777777" w:rsidR="005E7D3A" w:rsidRPr="005E7D3A" w:rsidRDefault="005E7D3A" w:rsidP="00C10BD1">
            <w:pPr>
              <w:spacing w:line="276" w:lineRule="auto"/>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2. Забезпечено всіх громадян доступними публічними послугами, які відповідають міжнародним стандартам</w:t>
            </w:r>
          </w:p>
        </w:tc>
      </w:tr>
      <w:tr w:rsidR="005E7D3A" w:rsidRPr="005E7D3A" w14:paraId="1D7C753D" w14:textId="77777777" w:rsidTr="00C114E5">
        <w:trPr>
          <w:trHeight w:val="450"/>
        </w:trPr>
        <w:tc>
          <w:tcPr>
            <w:tcW w:w="2552" w:type="dxa"/>
            <w:gridSpan w:val="2"/>
            <w:shd w:val="clear" w:color="auto" w:fill="auto"/>
            <w:tcMar>
              <w:top w:w="100" w:type="dxa"/>
              <w:left w:w="100" w:type="dxa"/>
              <w:bottom w:w="100" w:type="dxa"/>
              <w:right w:w="100" w:type="dxa"/>
            </w:tcMar>
          </w:tcPr>
          <w:p w14:paraId="30609D7D" w14:textId="77777777" w:rsidR="005E7D3A" w:rsidRPr="005E7D3A" w:rsidRDefault="005E7D3A" w:rsidP="00E90D14">
            <w:pPr>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 xml:space="preserve">1) провести освітньо-виховні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т. ч. особами з інвалідністю та із числа ВПО, для залучення до </w:t>
            </w:r>
            <w:r w:rsidRPr="005E7D3A">
              <w:rPr>
                <w:rFonts w:ascii="Times New Roman" w:eastAsia="Times New Roman" w:hAnsi="Times New Roman" w:cs="Times New Roman"/>
                <w:sz w:val="24"/>
                <w:szCs w:val="24"/>
                <w:lang w:val="uk-UA"/>
              </w:rPr>
              <w:lastRenderedPageBreak/>
              <w:t>громадянського та політичного життя</w:t>
            </w:r>
          </w:p>
        </w:tc>
        <w:tc>
          <w:tcPr>
            <w:tcW w:w="2268" w:type="dxa"/>
            <w:shd w:val="clear" w:color="auto" w:fill="auto"/>
            <w:tcMar>
              <w:top w:w="100" w:type="dxa"/>
              <w:left w:w="100" w:type="dxa"/>
              <w:bottom w:w="100" w:type="dxa"/>
              <w:right w:w="100" w:type="dxa"/>
            </w:tcMar>
          </w:tcPr>
          <w:p w14:paraId="05868095" w14:textId="45B23AB0"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lastRenderedPageBreak/>
              <w:t>Управління молоді та спорту обласної держ</w:t>
            </w:r>
            <w:r w:rsidR="00E90D14">
              <w:rPr>
                <w:rFonts w:ascii="Times New Roman" w:eastAsia="Times New Roman" w:hAnsi="Times New Roman" w:cs="Times New Roman"/>
                <w:sz w:val="24"/>
                <w:szCs w:val="24"/>
                <w:lang w:val="uk-UA"/>
              </w:rPr>
              <w:t xml:space="preserve">авної </w:t>
            </w:r>
            <w:r w:rsidRPr="005E7D3A">
              <w:rPr>
                <w:rFonts w:ascii="Times New Roman" w:eastAsia="Times New Roman" w:hAnsi="Times New Roman" w:cs="Times New Roman"/>
                <w:sz w:val="24"/>
                <w:szCs w:val="24"/>
                <w:lang w:val="uk-UA"/>
              </w:rPr>
              <w:t xml:space="preserve">адміністрації, ОКУ «Луганський обласний центр підтримки молодіжних ініціатив та соціальних досліджень», «Луганський обласний центр соціокультурної адаптації молоді з обмеженими фізичними </w:t>
            </w:r>
            <w:r w:rsidRPr="005E7D3A">
              <w:rPr>
                <w:rFonts w:ascii="Times New Roman" w:eastAsia="Times New Roman" w:hAnsi="Times New Roman" w:cs="Times New Roman"/>
                <w:sz w:val="24"/>
                <w:szCs w:val="24"/>
                <w:lang w:val="uk-UA"/>
              </w:rPr>
              <w:lastRenderedPageBreak/>
              <w:t>можливостями», ВА</w:t>
            </w:r>
          </w:p>
        </w:tc>
        <w:tc>
          <w:tcPr>
            <w:tcW w:w="1417" w:type="dxa"/>
            <w:shd w:val="clear" w:color="auto" w:fill="auto"/>
            <w:tcMar>
              <w:top w:w="100" w:type="dxa"/>
              <w:left w:w="100" w:type="dxa"/>
              <w:bottom w:w="100" w:type="dxa"/>
              <w:right w:w="100" w:type="dxa"/>
            </w:tcMar>
          </w:tcPr>
          <w:p w14:paraId="13FF8223" w14:textId="77777777" w:rsidR="005E7D3A" w:rsidRPr="005E7D3A" w:rsidRDefault="005E7D3A" w:rsidP="00E341A2">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lastRenderedPageBreak/>
              <w:t>01.07.2023</w:t>
            </w:r>
          </w:p>
        </w:tc>
        <w:tc>
          <w:tcPr>
            <w:tcW w:w="1560" w:type="dxa"/>
            <w:shd w:val="clear" w:color="auto" w:fill="auto"/>
            <w:tcMar>
              <w:top w:w="100" w:type="dxa"/>
              <w:left w:w="100" w:type="dxa"/>
              <w:bottom w:w="100" w:type="dxa"/>
              <w:right w:w="100" w:type="dxa"/>
            </w:tcMar>
          </w:tcPr>
          <w:p w14:paraId="4C30406C" w14:textId="4E04D951" w:rsidR="005E7D3A" w:rsidRPr="005E7D3A" w:rsidRDefault="005E7D3A" w:rsidP="00E341A2">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30.</w:t>
            </w:r>
            <w:r w:rsidR="00F12A5F">
              <w:rPr>
                <w:rFonts w:ascii="Times New Roman" w:eastAsia="Times New Roman" w:hAnsi="Times New Roman" w:cs="Times New Roman"/>
                <w:sz w:val="24"/>
                <w:szCs w:val="24"/>
                <w:lang w:val="uk-UA"/>
              </w:rPr>
              <w:t>09</w:t>
            </w:r>
            <w:r w:rsidRPr="005E7D3A">
              <w:rPr>
                <w:rFonts w:ascii="Times New Roman" w:eastAsia="Times New Roman" w:hAnsi="Times New Roman" w:cs="Times New Roman"/>
                <w:sz w:val="24"/>
                <w:szCs w:val="24"/>
                <w:lang w:val="uk-UA"/>
              </w:rPr>
              <w:t>.2023</w:t>
            </w:r>
          </w:p>
        </w:tc>
        <w:tc>
          <w:tcPr>
            <w:tcW w:w="1417" w:type="dxa"/>
            <w:shd w:val="clear" w:color="auto" w:fill="auto"/>
            <w:tcMar>
              <w:top w:w="100" w:type="dxa"/>
              <w:left w:w="100" w:type="dxa"/>
              <w:bottom w:w="100" w:type="dxa"/>
              <w:right w:w="100" w:type="dxa"/>
            </w:tcMar>
          </w:tcPr>
          <w:p w14:paraId="7224428D" w14:textId="77777777" w:rsidR="005E7D3A" w:rsidRPr="005E7D3A" w:rsidRDefault="005E7D3A" w:rsidP="00C114E5">
            <w:pPr>
              <w:ind w:right="-106"/>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2883F761" w14:textId="2B48B8B6" w:rsidR="005E7D3A" w:rsidRPr="005E7D3A" w:rsidRDefault="00411101" w:rsidP="00E90D14">
            <w:pPr>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00F12A5F" w:rsidRPr="00F12A5F">
              <w:rPr>
                <w:rFonts w:ascii="Times New Roman" w:eastAsia="Times New Roman" w:hAnsi="Times New Roman" w:cs="Times New Roman"/>
                <w:sz w:val="24"/>
                <w:szCs w:val="24"/>
                <w:lang w:val="uk-UA"/>
              </w:rPr>
              <w:t xml:space="preserve">роведено семінари, тренінги та навчальні програми до яких залучено  33 представників молодіжних центрів та активної молоді, у т. ч. молоді з інвалідністю та із числа ВПО, яка постраждала внаслідок війни (охоплено близько 900 осіб активної молоді). </w:t>
            </w:r>
          </w:p>
          <w:p w14:paraId="69B61F46" w14:textId="77777777" w:rsidR="005E7D3A" w:rsidRPr="005E7D3A" w:rsidRDefault="005E7D3A" w:rsidP="00E90D14">
            <w:pPr>
              <w:jc w:val="left"/>
              <w:rPr>
                <w:rFonts w:ascii="Times New Roman" w:eastAsia="Times New Roman" w:hAnsi="Times New Roman" w:cs="Times New Roman"/>
                <w:sz w:val="24"/>
                <w:szCs w:val="24"/>
                <w:lang w:val="uk-UA"/>
              </w:rPr>
            </w:pPr>
          </w:p>
          <w:p w14:paraId="0ADAB4DF" w14:textId="77777777" w:rsidR="005E7D3A" w:rsidRPr="005E7D3A" w:rsidRDefault="005E7D3A" w:rsidP="00E90D14">
            <w:pPr>
              <w:jc w:val="left"/>
              <w:rPr>
                <w:rFonts w:ascii="Times New Roman" w:eastAsia="Times New Roman" w:hAnsi="Times New Roman" w:cs="Times New Roman"/>
                <w:sz w:val="24"/>
                <w:szCs w:val="24"/>
                <w:lang w:val="uk-UA"/>
              </w:rPr>
            </w:pPr>
          </w:p>
          <w:p w14:paraId="03598CD5" w14:textId="77777777" w:rsidR="005E7D3A" w:rsidRPr="005E7D3A" w:rsidRDefault="005E7D3A" w:rsidP="00E90D14">
            <w:pPr>
              <w:jc w:val="left"/>
              <w:rPr>
                <w:rFonts w:ascii="Times New Roman" w:eastAsia="Times New Roman" w:hAnsi="Times New Roman" w:cs="Times New Roman"/>
                <w:sz w:val="24"/>
                <w:szCs w:val="24"/>
                <w:lang w:val="uk-UA"/>
              </w:rPr>
            </w:pPr>
          </w:p>
        </w:tc>
      </w:tr>
      <w:tr w:rsidR="005E7D3A" w:rsidRPr="005E7D3A" w14:paraId="18EE3D23" w14:textId="77777777" w:rsidTr="00C114E5">
        <w:trPr>
          <w:trHeight w:val="450"/>
        </w:trPr>
        <w:tc>
          <w:tcPr>
            <w:tcW w:w="2552" w:type="dxa"/>
            <w:gridSpan w:val="2"/>
            <w:shd w:val="clear" w:color="auto" w:fill="auto"/>
            <w:tcMar>
              <w:top w:w="100" w:type="dxa"/>
              <w:left w:w="100" w:type="dxa"/>
              <w:bottom w:w="100" w:type="dxa"/>
              <w:right w:w="100" w:type="dxa"/>
            </w:tcMar>
          </w:tcPr>
          <w:p w14:paraId="4AAA5EEE" w14:textId="77777777" w:rsidR="005E7D3A" w:rsidRPr="005E7D3A" w:rsidRDefault="005E7D3A" w:rsidP="00E90D14">
            <w:pPr>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2) провести тренінги для представників молодіжних рад, у т. ч. молоді з інвалідністю та із числа ВПО, яка постраждала внаслідок війни, щодо участі у процесах ухвалення рішень</w:t>
            </w:r>
          </w:p>
        </w:tc>
        <w:tc>
          <w:tcPr>
            <w:tcW w:w="2268" w:type="dxa"/>
            <w:shd w:val="clear" w:color="auto" w:fill="auto"/>
            <w:tcMar>
              <w:top w:w="100" w:type="dxa"/>
              <w:left w:w="100" w:type="dxa"/>
              <w:bottom w:w="100" w:type="dxa"/>
              <w:right w:w="100" w:type="dxa"/>
            </w:tcMar>
          </w:tcPr>
          <w:p w14:paraId="0508AC07" w14:textId="7CC1A450"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Управління молоді та спорту обласної держа</w:t>
            </w:r>
            <w:r w:rsidR="00E90D14">
              <w:rPr>
                <w:rFonts w:ascii="Times New Roman" w:eastAsia="Times New Roman" w:hAnsi="Times New Roman" w:cs="Times New Roman"/>
                <w:sz w:val="24"/>
                <w:szCs w:val="24"/>
                <w:lang w:val="uk-UA"/>
              </w:rPr>
              <w:t>вної а</w:t>
            </w:r>
            <w:r w:rsidRPr="005E7D3A">
              <w:rPr>
                <w:rFonts w:ascii="Times New Roman" w:eastAsia="Times New Roman" w:hAnsi="Times New Roman" w:cs="Times New Roman"/>
                <w:sz w:val="24"/>
                <w:szCs w:val="24"/>
                <w:lang w:val="uk-UA"/>
              </w:rPr>
              <w:t>дміністрації, ОКУ «Луганський обласний центр підтримки молодіжних ініціатив та соціальних досліджень», «Луганський обласний центр соціокультурної адаптації молоді з обмеженими фізичними можливостями», ВА</w:t>
            </w:r>
          </w:p>
        </w:tc>
        <w:tc>
          <w:tcPr>
            <w:tcW w:w="1417" w:type="dxa"/>
            <w:shd w:val="clear" w:color="auto" w:fill="auto"/>
            <w:tcMar>
              <w:top w:w="100" w:type="dxa"/>
              <w:left w:w="100" w:type="dxa"/>
              <w:bottom w:w="100" w:type="dxa"/>
              <w:right w:w="100" w:type="dxa"/>
            </w:tcMar>
          </w:tcPr>
          <w:p w14:paraId="38BC3AAC" w14:textId="7777777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01.05.2023</w:t>
            </w:r>
          </w:p>
        </w:tc>
        <w:tc>
          <w:tcPr>
            <w:tcW w:w="1560" w:type="dxa"/>
            <w:shd w:val="clear" w:color="auto" w:fill="auto"/>
            <w:tcMar>
              <w:top w:w="100" w:type="dxa"/>
              <w:left w:w="100" w:type="dxa"/>
              <w:bottom w:w="100" w:type="dxa"/>
              <w:right w:w="100" w:type="dxa"/>
            </w:tcMar>
          </w:tcPr>
          <w:p w14:paraId="28239FD1" w14:textId="59930EA8" w:rsidR="005E7D3A" w:rsidRPr="005E7D3A" w:rsidRDefault="005E7D3A" w:rsidP="00E341A2">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30.0</w:t>
            </w:r>
            <w:r w:rsidR="00613A99">
              <w:rPr>
                <w:rFonts w:ascii="Times New Roman" w:eastAsia="Times New Roman" w:hAnsi="Times New Roman" w:cs="Times New Roman"/>
                <w:sz w:val="24"/>
                <w:szCs w:val="24"/>
                <w:lang w:val="uk-UA"/>
              </w:rPr>
              <w:t>9</w:t>
            </w:r>
            <w:r w:rsidRPr="005E7D3A">
              <w:rPr>
                <w:rFonts w:ascii="Times New Roman" w:eastAsia="Times New Roman" w:hAnsi="Times New Roman" w:cs="Times New Roman"/>
                <w:sz w:val="24"/>
                <w:szCs w:val="24"/>
                <w:lang w:val="uk-UA"/>
              </w:rPr>
              <w:t>.202</w:t>
            </w:r>
            <w:r w:rsidR="00613A99">
              <w:rPr>
                <w:rFonts w:ascii="Times New Roman" w:eastAsia="Times New Roman" w:hAnsi="Times New Roman" w:cs="Times New Roman"/>
                <w:sz w:val="24"/>
                <w:szCs w:val="24"/>
                <w:lang w:val="uk-UA"/>
              </w:rPr>
              <w:t>3</w:t>
            </w:r>
          </w:p>
        </w:tc>
        <w:tc>
          <w:tcPr>
            <w:tcW w:w="1417" w:type="dxa"/>
            <w:shd w:val="clear" w:color="auto" w:fill="auto"/>
            <w:tcMar>
              <w:top w:w="100" w:type="dxa"/>
              <w:left w:w="100" w:type="dxa"/>
              <w:bottom w:w="100" w:type="dxa"/>
              <w:right w:w="100" w:type="dxa"/>
            </w:tcMar>
          </w:tcPr>
          <w:p w14:paraId="79B6EBC4" w14:textId="3BCF1C7E" w:rsidR="005E7D3A" w:rsidRPr="005E7D3A" w:rsidRDefault="00613A99" w:rsidP="00613A99">
            <w:pPr>
              <w:ind w:right="-106"/>
              <w:jc w:val="left"/>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31F82D4A" w14:textId="466338B8" w:rsidR="005E7D3A" w:rsidRPr="005E7D3A" w:rsidRDefault="002348BA" w:rsidP="00E90D14">
            <w:pPr>
              <w:jc w:val="left"/>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п</w:t>
            </w:r>
            <w:r w:rsidR="00613A99" w:rsidRPr="00613A99">
              <w:rPr>
                <w:rFonts w:ascii="Times New Roman" w:eastAsia="Times New Roman" w:hAnsi="Times New Roman" w:cs="Times New Roman"/>
                <w:sz w:val="24"/>
                <w:szCs w:val="24"/>
                <w:lang w:val="uk-UA"/>
              </w:rPr>
              <w:t>роведено тренінг для представників молодіжних рад територіальних громад області, у т. ч. молоді з інвалідністю та із числа ВПО, яка постраждала внаслідок війни, щодо участі у процесах ухвалення рішень. Станом на 30.09.2023 року у 8  громадах області створено молодіжні консультативно-дорадчі органи (молодіжні ради) (оновлено склади) в тому числі 1 районна молодіжна рада,  в 14  – триває робота щодо їх створення (оновлення). Загалом, заходами направленими на інформування молоді  щодо  можливості її участі у процесах прийняття управлінських рішень охоплено понад 400 осіб активної молоді.</w:t>
            </w:r>
          </w:p>
        </w:tc>
      </w:tr>
      <w:tr w:rsidR="005E7D3A" w:rsidRPr="005E7D3A" w14:paraId="7EBE14D6" w14:textId="77777777" w:rsidTr="00C114E5">
        <w:trPr>
          <w:trHeight w:val="450"/>
        </w:trPr>
        <w:tc>
          <w:tcPr>
            <w:tcW w:w="2552" w:type="dxa"/>
            <w:gridSpan w:val="2"/>
            <w:shd w:val="clear" w:color="auto" w:fill="auto"/>
            <w:tcMar>
              <w:top w:w="100" w:type="dxa"/>
              <w:left w:w="100" w:type="dxa"/>
              <w:bottom w:w="100" w:type="dxa"/>
              <w:right w:w="100" w:type="dxa"/>
            </w:tcMar>
          </w:tcPr>
          <w:p w14:paraId="06AC259C" w14:textId="77777777" w:rsidR="005E7D3A" w:rsidRPr="005E7D3A" w:rsidRDefault="005E7D3A" w:rsidP="00E90D14">
            <w:pPr>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 xml:space="preserve">3) провести інформаційно - просвітницькі заходи (акції, форуми, тренінги) для молоді з питань інструментів участі у </w:t>
            </w:r>
            <w:r w:rsidRPr="005E7D3A">
              <w:rPr>
                <w:rFonts w:ascii="Times New Roman" w:eastAsia="Times New Roman" w:hAnsi="Times New Roman" w:cs="Times New Roman"/>
                <w:sz w:val="24"/>
                <w:szCs w:val="24"/>
                <w:lang w:val="uk-UA"/>
              </w:rPr>
              <w:lastRenderedPageBreak/>
              <w:t>громадянському та політичному житті</w:t>
            </w:r>
          </w:p>
        </w:tc>
        <w:tc>
          <w:tcPr>
            <w:tcW w:w="2268" w:type="dxa"/>
            <w:shd w:val="clear" w:color="auto" w:fill="auto"/>
            <w:tcMar>
              <w:top w:w="100" w:type="dxa"/>
              <w:left w:w="100" w:type="dxa"/>
              <w:bottom w:w="100" w:type="dxa"/>
              <w:right w:w="100" w:type="dxa"/>
            </w:tcMar>
          </w:tcPr>
          <w:p w14:paraId="41D39226" w14:textId="51AADF79"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lastRenderedPageBreak/>
              <w:t>Управління молоді та спорту обласної держа</w:t>
            </w:r>
            <w:r w:rsidR="00E90D14">
              <w:rPr>
                <w:rFonts w:ascii="Times New Roman" w:eastAsia="Times New Roman" w:hAnsi="Times New Roman" w:cs="Times New Roman"/>
                <w:sz w:val="24"/>
                <w:szCs w:val="24"/>
                <w:lang w:val="uk-UA"/>
              </w:rPr>
              <w:t>вної а</w:t>
            </w:r>
            <w:r w:rsidRPr="005E7D3A">
              <w:rPr>
                <w:rFonts w:ascii="Times New Roman" w:eastAsia="Times New Roman" w:hAnsi="Times New Roman" w:cs="Times New Roman"/>
                <w:sz w:val="24"/>
                <w:szCs w:val="24"/>
                <w:lang w:val="uk-UA"/>
              </w:rPr>
              <w:t xml:space="preserve">дміністрації, ОКУ «Луганський обласний центр підтримки молодіжних </w:t>
            </w:r>
            <w:r w:rsidRPr="005E7D3A">
              <w:rPr>
                <w:rFonts w:ascii="Times New Roman" w:eastAsia="Times New Roman" w:hAnsi="Times New Roman" w:cs="Times New Roman"/>
                <w:sz w:val="24"/>
                <w:szCs w:val="24"/>
                <w:lang w:val="uk-UA"/>
              </w:rPr>
              <w:lastRenderedPageBreak/>
              <w:t>ініціатив та соціальних досліджень», «Луганський обласний центр соціокультурної адаптації молоді з обмеженими фізичними можливостями», ВА</w:t>
            </w:r>
          </w:p>
        </w:tc>
        <w:tc>
          <w:tcPr>
            <w:tcW w:w="1417" w:type="dxa"/>
            <w:shd w:val="clear" w:color="auto" w:fill="auto"/>
            <w:tcMar>
              <w:top w:w="100" w:type="dxa"/>
              <w:left w:w="100" w:type="dxa"/>
              <w:bottom w:w="100" w:type="dxa"/>
              <w:right w:w="100" w:type="dxa"/>
            </w:tcMar>
          </w:tcPr>
          <w:p w14:paraId="6C9A97BD" w14:textId="7777777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lastRenderedPageBreak/>
              <w:t>01.05.2023</w:t>
            </w:r>
          </w:p>
        </w:tc>
        <w:tc>
          <w:tcPr>
            <w:tcW w:w="1560" w:type="dxa"/>
            <w:shd w:val="clear" w:color="auto" w:fill="auto"/>
            <w:tcMar>
              <w:top w:w="100" w:type="dxa"/>
              <w:left w:w="100" w:type="dxa"/>
              <w:bottom w:w="100" w:type="dxa"/>
              <w:right w:w="100" w:type="dxa"/>
            </w:tcMar>
          </w:tcPr>
          <w:p w14:paraId="01BC28FF" w14:textId="5E0BF458" w:rsidR="005E7D3A" w:rsidRPr="005E7D3A" w:rsidRDefault="005E7D3A" w:rsidP="00E341A2">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30.</w:t>
            </w:r>
            <w:r w:rsidR="002348BA">
              <w:rPr>
                <w:rFonts w:ascii="Times New Roman" w:eastAsia="Times New Roman" w:hAnsi="Times New Roman" w:cs="Times New Roman"/>
                <w:sz w:val="24"/>
                <w:szCs w:val="24"/>
                <w:lang w:val="uk-UA"/>
              </w:rPr>
              <w:t>09</w:t>
            </w:r>
            <w:r w:rsidRPr="005E7D3A">
              <w:rPr>
                <w:rFonts w:ascii="Times New Roman" w:eastAsia="Times New Roman" w:hAnsi="Times New Roman" w:cs="Times New Roman"/>
                <w:sz w:val="24"/>
                <w:szCs w:val="24"/>
                <w:lang w:val="uk-UA"/>
              </w:rPr>
              <w:t>.202</w:t>
            </w:r>
            <w:r w:rsidR="002348BA">
              <w:rPr>
                <w:rFonts w:ascii="Times New Roman" w:eastAsia="Times New Roman" w:hAnsi="Times New Roman" w:cs="Times New Roman"/>
                <w:sz w:val="24"/>
                <w:szCs w:val="24"/>
                <w:lang w:val="uk-UA"/>
              </w:rPr>
              <w:t>3</w:t>
            </w:r>
          </w:p>
        </w:tc>
        <w:tc>
          <w:tcPr>
            <w:tcW w:w="1417" w:type="dxa"/>
            <w:shd w:val="clear" w:color="auto" w:fill="auto"/>
            <w:tcMar>
              <w:top w:w="100" w:type="dxa"/>
              <w:left w:w="100" w:type="dxa"/>
              <w:bottom w:w="100" w:type="dxa"/>
              <w:right w:w="100" w:type="dxa"/>
            </w:tcMar>
          </w:tcPr>
          <w:p w14:paraId="2A7D7184" w14:textId="77777777" w:rsidR="005E7D3A" w:rsidRPr="005E7D3A" w:rsidRDefault="005E7D3A" w:rsidP="00C114E5">
            <w:pPr>
              <w:ind w:right="-106"/>
              <w:jc w:val="left"/>
              <w:rPr>
                <w:rFonts w:ascii="Times New Roman" w:eastAsia="Times New Roman" w:hAnsi="Times New Roman" w:cs="Times New Roman"/>
                <w:i/>
                <w:sz w:val="24"/>
                <w:szCs w:val="24"/>
                <w:lang w:val="uk-UA"/>
              </w:rPr>
            </w:pPr>
            <w:r w:rsidRPr="005E7D3A">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43F8610B" w14:textId="15C4AF2D" w:rsidR="002348BA" w:rsidRPr="002348BA" w:rsidRDefault="002348BA" w:rsidP="002348BA">
            <w:pPr>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2348BA">
              <w:rPr>
                <w:rFonts w:ascii="Times New Roman" w:eastAsia="Times New Roman" w:hAnsi="Times New Roman" w:cs="Times New Roman"/>
                <w:sz w:val="24"/>
                <w:szCs w:val="24"/>
                <w:lang w:val="uk-UA"/>
              </w:rPr>
              <w:t xml:space="preserve">роведено інформаційно-просвітницькі заходи для молоді з питань інструментів участі у громадянському та політичному житті, зокрема психологічний тренінг «Тайм менеджмент і життєвий успіх», навчальній програмі для молоді ВПО з розвитку навичок необхідних для фінансової стабільності, успішного працевлаштування, початку підприємницької </w:t>
            </w:r>
            <w:r w:rsidRPr="002348BA">
              <w:rPr>
                <w:rFonts w:ascii="Times New Roman" w:eastAsia="Times New Roman" w:hAnsi="Times New Roman" w:cs="Times New Roman"/>
                <w:sz w:val="24"/>
                <w:szCs w:val="24"/>
                <w:lang w:val="uk-UA"/>
              </w:rPr>
              <w:lastRenderedPageBreak/>
              <w:t xml:space="preserve">діяльності (розвиток softskills, цифрова грамотність, фінансова обізнаність) тренінгу для молоді «Ефективна комунікація». </w:t>
            </w:r>
          </w:p>
          <w:p w14:paraId="2AAFB139" w14:textId="2532348F" w:rsidR="002348BA" w:rsidRPr="002348BA" w:rsidRDefault="002348BA" w:rsidP="002348BA">
            <w:pPr>
              <w:jc w:val="left"/>
              <w:rPr>
                <w:rFonts w:ascii="Times New Roman" w:eastAsia="Times New Roman" w:hAnsi="Times New Roman" w:cs="Times New Roman"/>
                <w:sz w:val="24"/>
                <w:szCs w:val="24"/>
                <w:lang w:val="uk-UA"/>
              </w:rPr>
            </w:pPr>
            <w:r w:rsidRPr="002348BA">
              <w:rPr>
                <w:rFonts w:ascii="Times New Roman" w:eastAsia="Times New Roman" w:hAnsi="Times New Roman" w:cs="Times New Roman"/>
                <w:sz w:val="24"/>
                <w:szCs w:val="24"/>
                <w:lang w:val="uk-UA"/>
              </w:rPr>
              <w:t xml:space="preserve">В ресурсних центрах молоді Луганщини у   </w:t>
            </w:r>
            <w:r w:rsidR="00E341A2">
              <w:rPr>
                <w:rFonts w:ascii="Times New Roman" w:eastAsia="Times New Roman" w:hAnsi="Times New Roman" w:cs="Times New Roman"/>
                <w:sz w:val="24"/>
                <w:szCs w:val="24"/>
                <w:lang w:val="uk-UA"/>
              </w:rPr>
              <w:t xml:space="preserve">          </w:t>
            </w:r>
            <w:r w:rsidRPr="002348BA">
              <w:rPr>
                <w:rFonts w:ascii="Times New Roman" w:eastAsia="Times New Roman" w:hAnsi="Times New Roman" w:cs="Times New Roman"/>
                <w:sz w:val="24"/>
                <w:szCs w:val="24"/>
                <w:lang w:val="uk-UA"/>
              </w:rPr>
              <w:t xml:space="preserve">м. Дніпрі та м. Чернівці на постійній основі проходять заняття студій з журналістики, з фото, з відео монтажу  та курси з СММ. </w:t>
            </w:r>
          </w:p>
          <w:p w14:paraId="12025686" w14:textId="312EA376" w:rsidR="005E7D3A" w:rsidRPr="005E7D3A" w:rsidRDefault="002348BA" w:rsidP="002348BA">
            <w:pPr>
              <w:jc w:val="left"/>
              <w:rPr>
                <w:rFonts w:ascii="Times New Roman" w:eastAsia="Times New Roman" w:hAnsi="Times New Roman" w:cs="Times New Roman"/>
                <w:sz w:val="24"/>
                <w:szCs w:val="24"/>
                <w:lang w:val="uk-UA"/>
              </w:rPr>
            </w:pPr>
            <w:r w:rsidRPr="002348BA">
              <w:rPr>
                <w:rFonts w:ascii="Times New Roman" w:eastAsia="Times New Roman" w:hAnsi="Times New Roman" w:cs="Times New Roman"/>
                <w:sz w:val="24"/>
                <w:szCs w:val="24"/>
                <w:lang w:val="uk-UA"/>
              </w:rPr>
              <w:t>Охоплено понад 450 осіб активної молоді.</w:t>
            </w:r>
          </w:p>
        </w:tc>
      </w:tr>
      <w:tr w:rsidR="005E7D3A" w:rsidRPr="005E7D3A" w14:paraId="7153FCFF" w14:textId="77777777" w:rsidTr="00E90D14">
        <w:trPr>
          <w:trHeight w:val="450"/>
        </w:trPr>
        <w:tc>
          <w:tcPr>
            <w:tcW w:w="14742" w:type="dxa"/>
            <w:gridSpan w:val="7"/>
            <w:shd w:val="clear" w:color="auto" w:fill="auto"/>
            <w:tcMar>
              <w:top w:w="100" w:type="dxa"/>
              <w:left w:w="100" w:type="dxa"/>
              <w:bottom w:w="100" w:type="dxa"/>
              <w:right w:w="100" w:type="dxa"/>
            </w:tcMar>
          </w:tcPr>
          <w:p w14:paraId="5D3264DB" w14:textId="63A31289" w:rsidR="005E7D3A" w:rsidRPr="005E7D3A" w:rsidRDefault="00E90D14" w:rsidP="00C10BD1">
            <w:pPr>
              <w:spacing w:line="276" w:lineRule="auto"/>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lastRenderedPageBreak/>
              <w:t xml:space="preserve">3. </w:t>
            </w:r>
            <w:r w:rsidR="005E7D3A" w:rsidRPr="005E7D3A">
              <w:rPr>
                <w:rFonts w:ascii="Times New Roman" w:eastAsia="Times New Roman" w:hAnsi="Times New Roman" w:cs="Times New Roman"/>
                <w:sz w:val="24"/>
                <w:szCs w:val="24"/>
                <w:lang w:val="uk-UA"/>
              </w:rPr>
              <w:t>Держава сприяє підвищенню рівня здоров’я та забезпеченню фізичної активності населення</w:t>
            </w:r>
          </w:p>
        </w:tc>
      </w:tr>
      <w:tr w:rsidR="005E7D3A" w:rsidRPr="005E7D3A" w14:paraId="497B831F" w14:textId="77777777" w:rsidTr="00C114E5">
        <w:trPr>
          <w:trHeight w:val="450"/>
        </w:trPr>
        <w:tc>
          <w:tcPr>
            <w:tcW w:w="2552" w:type="dxa"/>
            <w:gridSpan w:val="2"/>
            <w:shd w:val="clear" w:color="auto" w:fill="auto"/>
            <w:tcMar>
              <w:top w:w="100" w:type="dxa"/>
              <w:left w:w="100" w:type="dxa"/>
              <w:bottom w:w="100" w:type="dxa"/>
              <w:right w:w="100" w:type="dxa"/>
            </w:tcMar>
          </w:tcPr>
          <w:p w14:paraId="3E1DC1DE" w14:textId="7777777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1) провести інформаційно-просвітницькі заходи з метою залучення різних груп населення, у тому числі соціально незахищених, до рухової активності та спорту</w:t>
            </w:r>
          </w:p>
        </w:tc>
        <w:tc>
          <w:tcPr>
            <w:tcW w:w="2268" w:type="dxa"/>
            <w:shd w:val="clear" w:color="auto" w:fill="auto"/>
            <w:tcMar>
              <w:top w:w="100" w:type="dxa"/>
              <w:left w:w="100" w:type="dxa"/>
              <w:bottom w:w="100" w:type="dxa"/>
              <w:right w:w="100" w:type="dxa"/>
            </w:tcMar>
          </w:tcPr>
          <w:p w14:paraId="16A3259C" w14:textId="57856540"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Управління молоді та спорту обласної держ</w:t>
            </w:r>
            <w:r w:rsidR="00E90D14">
              <w:rPr>
                <w:rFonts w:ascii="Times New Roman" w:eastAsia="Times New Roman" w:hAnsi="Times New Roman" w:cs="Times New Roman"/>
                <w:sz w:val="24"/>
                <w:szCs w:val="24"/>
                <w:lang w:val="uk-UA"/>
              </w:rPr>
              <w:t xml:space="preserve">авної </w:t>
            </w:r>
            <w:r w:rsidRPr="005E7D3A">
              <w:rPr>
                <w:rFonts w:ascii="Times New Roman" w:eastAsia="Times New Roman" w:hAnsi="Times New Roman" w:cs="Times New Roman"/>
                <w:sz w:val="24"/>
                <w:szCs w:val="24"/>
                <w:lang w:val="uk-UA"/>
              </w:rPr>
              <w:t>адміністрації, ВА</w:t>
            </w:r>
          </w:p>
        </w:tc>
        <w:tc>
          <w:tcPr>
            <w:tcW w:w="1417" w:type="dxa"/>
            <w:shd w:val="clear" w:color="auto" w:fill="auto"/>
            <w:tcMar>
              <w:top w:w="100" w:type="dxa"/>
              <w:left w:w="100" w:type="dxa"/>
              <w:bottom w:w="100" w:type="dxa"/>
              <w:right w:w="100" w:type="dxa"/>
            </w:tcMar>
          </w:tcPr>
          <w:p w14:paraId="0BE6A1D9" w14:textId="7777777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01.05.2023</w:t>
            </w:r>
          </w:p>
        </w:tc>
        <w:tc>
          <w:tcPr>
            <w:tcW w:w="1560" w:type="dxa"/>
            <w:shd w:val="clear" w:color="auto" w:fill="auto"/>
            <w:tcMar>
              <w:top w:w="100" w:type="dxa"/>
              <w:left w:w="100" w:type="dxa"/>
              <w:bottom w:w="100" w:type="dxa"/>
              <w:right w:w="100" w:type="dxa"/>
            </w:tcMar>
          </w:tcPr>
          <w:p w14:paraId="29DBC2F2" w14:textId="221BF5A8" w:rsidR="005E7D3A" w:rsidRPr="005E7D3A" w:rsidRDefault="005E7D3A" w:rsidP="00E341A2">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30.</w:t>
            </w:r>
            <w:r w:rsidR="00E341A2">
              <w:rPr>
                <w:rFonts w:ascii="Times New Roman" w:eastAsia="Times New Roman" w:hAnsi="Times New Roman" w:cs="Times New Roman"/>
                <w:sz w:val="24"/>
                <w:szCs w:val="24"/>
                <w:lang w:val="uk-UA"/>
              </w:rPr>
              <w:t>09</w:t>
            </w:r>
            <w:r w:rsidRPr="005E7D3A">
              <w:rPr>
                <w:rFonts w:ascii="Times New Roman" w:eastAsia="Times New Roman" w:hAnsi="Times New Roman" w:cs="Times New Roman"/>
                <w:sz w:val="24"/>
                <w:szCs w:val="24"/>
                <w:lang w:val="uk-UA"/>
              </w:rPr>
              <w:t>.202</w:t>
            </w:r>
            <w:r w:rsidR="00E341A2">
              <w:rPr>
                <w:rFonts w:ascii="Times New Roman" w:eastAsia="Times New Roman" w:hAnsi="Times New Roman" w:cs="Times New Roman"/>
                <w:sz w:val="24"/>
                <w:szCs w:val="24"/>
                <w:lang w:val="uk-UA"/>
              </w:rPr>
              <w:t>3</w:t>
            </w:r>
          </w:p>
        </w:tc>
        <w:tc>
          <w:tcPr>
            <w:tcW w:w="1417" w:type="dxa"/>
            <w:shd w:val="clear" w:color="auto" w:fill="auto"/>
            <w:tcMar>
              <w:top w:w="100" w:type="dxa"/>
              <w:left w:w="100" w:type="dxa"/>
              <w:bottom w:w="100" w:type="dxa"/>
              <w:right w:w="100" w:type="dxa"/>
            </w:tcMar>
          </w:tcPr>
          <w:p w14:paraId="6ED291D5" w14:textId="468FA4D5" w:rsidR="005E7D3A" w:rsidRPr="005E7D3A" w:rsidRDefault="002348BA" w:rsidP="002348BA">
            <w:pPr>
              <w:ind w:right="-106"/>
              <w:jc w:val="left"/>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1F318301" w14:textId="6034CD7D" w:rsidR="005E7D3A" w:rsidRPr="005E7D3A" w:rsidRDefault="002348BA" w:rsidP="00E90D14">
            <w:pPr>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2348BA">
              <w:rPr>
                <w:rFonts w:ascii="Times New Roman" w:eastAsia="Times New Roman" w:hAnsi="Times New Roman" w:cs="Times New Roman"/>
                <w:sz w:val="24"/>
                <w:szCs w:val="24"/>
                <w:lang w:val="uk-UA"/>
              </w:rPr>
              <w:t xml:space="preserve"> гуманітарних ХАБах області, які розташовані у різних містах України надається інформаційно-консультативна підтримка для різних вікових груп населення щодо важливості рухової активності,  занять фізичною культурою і спортом,  популяризації та утвердженню здорового і безпечного способу життя та здоров'я серед  дітей, молоді, підлітків. Також, інформування населення області здійснюється шляхом розміщення відповідних роликів, статей та інше на офіційних веб сайтах облдержадміністрації, військових адміністрацій населених пунктів області, на їх сторінках у соціальних мережах (загалом охоплено понад 5 тисяч осіб різних груп населення – тимчасово – переміщених мешканців області).</w:t>
            </w:r>
          </w:p>
        </w:tc>
      </w:tr>
      <w:tr w:rsidR="005E7D3A" w:rsidRPr="005E7D3A" w14:paraId="4B787A83" w14:textId="77777777" w:rsidTr="00C114E5">
        <w:trPr>
          <w:trHeight w:val="450"/>
        </w:trPr>
        <w:tc>
          <w:tcPr>
            <w:tcW w:w="2552" w:type="dxa"/>
            <w:gridSpan w:val="2"/>
            <w:shd w:val="clear" w:color="auto" w:fill="auto"/>
            <w:tcMar>
              <w:top w:w="100" w:type="dxa"/>
              <w:left w:w="100" w:type="dxa"/>
              <w:bottom w:w="100" w:type="dxa"/>
              <w:right w:w="100" w:type="dxa"/>
            </w:tcMar>
          </w:tcPr>
          <w:p w14:paraId="22621A39" w14:textId="7777777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lastRenderedPageBreak/>
              <w:t>2) провести заходи з фізкультурно-спортивної реабілітації серед осіб з інвалідністю з метою покращання їх фізичного і функціонального стану засобами фізичної культури та спорту</w:t>
            </w:r>
          </w:p>
        </w:tc>
        <w:tc>
          <w:tcPr>
            <w:tcW w:w="2268" w:type="dxa"/>
            <w:shd w:val="clear" w:color="auto" w:fill="auto"/>
            <w:tcMar>
              <w:top w:w="100" w:type="dxa"/>
              <w:left w:w="100" w:type="dxa"/>
              <w:bottom w:w="100" w:type="dxa"/>
              <w:right w:w="100" w:type="dxa"/>
            </w:tcMar>
          </w:tcPr>
          <w:p w14:paraId="2894CE02" w14:textId="7777777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Регіональний центр «Інваспорт»</w:t>
            </w:r>
          </w:p>
        </w:tc>
        <w:tc>
          <w:tcPr>
            <w:tcW w:w="1417" w:type="dxa"/>
            <w:shd w:val="clear" w:color="auto" w:fill="auto"/>
            <w:tcMar>
              <w:top w:w="100" w:type="dxa"/>
              <w:left w:w="100" w:type="dxa"/>
              <w:bottom w:w="100" w:type="dxa"/>
              <w:right w:w="100" w:type="dxa"/>
            </w:tcMar>
          </w:tcPr>
          <w:p w14:paraId="6FAFD946" w14:textId="77777777" w:rsidR="005E7D3A" w:rsidRPr="005E7D3A" w:rsidRDefault="005E7D3A" w:rsidP="00E90D14">
            <w:pPr>
              <w:jc w:val="left"/>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01.05.2023</w:t>
            </w:r>
          </w:p>
        </w:tc>
        <w:tc>
          <w:tcPr>
            <w:tcW w:w="1560" w:type="dxa"/>
            <w:shd w:val="clear" w:color="auto" w:fill="auto"/>
            <w:tcMar>
              <w:top w:w="100" w:type="dxa"/>
              <w:left w:w="100" w:type="dxa"/>
              <w:bottom w:w="100" w:type="dxa"/>
              <w:right w:w="100" w:type="dxa"/>
            </w:tcMar>
          </w:tcPr>
          <w:p w14:paraId="482F3543" w14:textId="34C5FE80" w:rsidR="005E7D3A" w:rsidRPr="005E7D3A" w:rsidRDefault="005E7D3A" w:rsidP="00B40F42">
            <w:pPr>
              <w:rPr>
                <w:rFonts w:ascii="Times New Roman" w:eastAsia="Times New Roman" w:hAnsi="Times New Roman" w:cs="Times New Roman"/>
                <w:sz w:val="24"/>
                <w:szCs w:val="24"/>
                <w:lang w:val="uk-UA"/>
              </w:rPr>
            </w:pPr>
            <w:r w:rsidRPr="005E7D3A">
              <w:rPr>
                <w:rFonts w:ascii="Times New Roman" w:eastAsia="Times New Roman" w:hAnsi="Times New Roman" w:cs="Times New Roman"/>
                <w:sz w:val="24"/>
                <w:szCs w:val="24"/>
                <w:lang w:val="uk-UA"/>
              </w:rPr>
              <w:t>30.</w:t>
            </w:r>
            <w:r w:rsidR="002C4839">
              <w:rPr>
                <w:rFonts w:ascii="Times New Roman" w:eastAsia="Times New Roman" w:hAnsi="Times New Roman" w:cs="Times New Roman"/>
                <w:sz w:val="24"/>
                <w:szCs w:val="24"/>
                <w:lang w:val="uk-UA"/>
              </w:rPr>
              <w:t>09</w:t>
            </w:r>
            <w:r w:rsidRPr="005E7D3A">
              <w:rPr>
                <w:rFonts w:ascii="Times New Roman" w:eastAsia="Times New Roman" w:hAnsi="Times New Roman" w:cs="Times New Roman"/>
                <w:sz w:val="24"/>
                <w:szCs w:val="24"/>
                <w:lang w:val="uk-UA"/>
              </w:rPr>
              <w:t>.202</w:t>
            </w:r>
            <w:r w:rsidR="002C4839">
              <w:rPr>
                <w:rFonts w:ascii="Times New Roman" w:eastAsia="Times New Roman" w:hAnsi="Times New Roman" w:cs="Times New Roman"/>
                <w:sz w:val="24"/>
                <w:szCs w:val="24"/>
                <w:lang w:val="uk-UA"/>
              </w:rPr>
              <w:t>3</w:t>
            </w:r>
          </w:p>
        </w:tc>
        <w:tc>
          <w:tcPr>
            <w:tcW w:w="1417" w:type="dxa"/>
            <w:shd w:val="clear" w:color="auto" w:fill="auto"/>
            <w:tcMar>
              <w:top w:w="100" w:type="dxa"/>
              <w:left w:w="100" w:type="dxa"/>
              <w:bottom w:w="100" w:type="dxa"/>
              <w:right w:w="100" w:type="dxa"/>
            </w:tcMar>
          </w:tcPr>
          <w:p w14:paraId="561B154B" w14:textId="68F0A484" w:rsidR="005E7D3A" w:rsidRPr="005E7D3A" w:rsidRDefault="002C4839" w:rsidP="002C4839">
            <w:pPr>
              <w:ind w:right="-106"/>
              <w:jc w:val="left"/>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4C9A032C" w14:textId="61B2AA0D" w:rsidR="005E7D3A" w:rsidRPr="005E7D3A" w:rsidRDefault="002C4839" w:rsidP="002C4839">
            <w:pPr>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2C4839">
              <w:rPr>
                <w:rFonts w:ascii="Times New Roman" w:eastAsia="Times New Roman" w:hAnsi="Times New Roman" w:cs="Times New Roman"/>
                <w:sz w:val="24"/>
                <w:szCs w:val="24"/>
                <w:lang w:val="uk-UA"/>
              </w:rPr>
              <w:t xml:space="preserve"> гуманітарних ХАБах територіальних громад області, які розташовані у різних містах України, серед інших, надаються послуги з організації та проведення фізкультурно-оздоровчих і спортивних заходів серед різних вікових груп населення, в тому числі людей похилого віку, людей з інвалідністю, дітей, зокрема на локаціях «Активні парки» в містах, де здійснюють свою діяльність гуманітарні ХАБи області</w:t>
            </w:r>
            <w:r>
              <w:rPr>
                <w:rFonts w:ascii="Times New Roman" w:eastAsia="Times New Roman" w:hAnsi="Times New Roman" w:cs="Times New Roman"/>
                <w:sz w:val="24"/>
                <w:szCs w:val="24"/>
                <w:lang w:val="uk-UA"/>
              </w:rPr>
              <w:t xml:space="preserve"> </w:t>
            </w:r>
            <w:r w:rsidRPr="002C4839">
              <w:rPr>
                <w:rFonts w:ascii="Times New Roman" w:eastAsia="Times New Roman" w:hAnsi="Times New Roman" w:cs="Times New Roman"/>
                <w:sz w:val="24"/>
                <w:szCs w:val="24"/>
                <w:lang w:val="uk-UA"/>
              </w:rPr>
              <w:t>(до заходів залучено понад 300 осіб)</w:t>
            </w:r>
            <w:r>
              <w:rPr>
                <w:rFonts w:ascii="Times New Roman" w:eastAsia="Times New Roman" w:hAnsi="Times New Roman" w:cs="Times New Roman"/>
                <w:sz w:val="24"/>
                <w:szCs w:val="24"/>
                <w:lang w:val="uk-UA"/>
              </w:rPr>
              <w:t>.</w:t>
            </w:r>
          </w:p>
        </w:tc>
      </w:tr>
      <w:tr w:rsidR="00AD09CF" w:rsidRPr="00AD09CF" w14:paraId="247D7485" w14:textId="77777777" w:rsidTr="00E90D14">
        <w:tblPrEx>
          <w:tblBorders>
            <w:top w:val="nil"/>
            <w:left w:val="nil"/>
            <w:bottom w:val="nil"/>
            <w:right w:val="nil"/>
            <w:insideH w:val="nil"/>
            <w:insideV w:val="nil"/>
          </w:tblBorders>
        </w:tblPrEx>
        <w:trPr>
          <w:gridBefore w:val="1"/>
          <w:wBefore w:w="9" w:type="dxa"/>
          <w:trHeight w:val="75"/>
        </w:trPr>
        <w:tc>
          <w:tcPr>
            <w:tcW w:w="14733" w:type="dxa"/>
            <w:gridSpan w:val="6"/>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2D2F54" w14:textId="24E85902" w:rsidR="00AD09CF" w:rsidRPr="00C10BD1" w:rsidRDefault="00AD09CF" w:rsidP="00AD09CF">
            <w:pPr>
              <w:pStyle w:val="ab"/>
              <w:numPr>
                <w:ilvl w:val="0"/>
                <w:numId w:val="3"/>
              </w:numPr>
              <w:rPr>
                <w:rFonts w:ascii="Times New Roman" w:eastAsia="Times New Roman" w:hAnsi="Times New Roman" w:cs="Times New Roman"/>
                <w:i/>
                <w:sz w:val="24"/>
                <w:szCs w:val="24"/>
                <w:lang w:val="uk-UA"/>
              </w:rPr>
            </w:pPr>
            <w:r w:rsidRPr="00C10BD1">
              <w:rPr>
                <w:rFonts w:ascii="Times New Roman" w:eastAsia="Times New Roman" w:hAnsi="Times New Roman" w:cs="Times New Roman"/>
                <w:sz w:val="24"/>
                <w:szCs w:val="24"/>
                <w:lang w:val="uk-UA"/>
              </w:rPr>
              <w:t>Запроваджено комплексні соціальні, реабілітаційні та абілітаційні послуги для осіб/дітей з інвалідністю</w:t>
            </w:r>
          </w:p>
        </w:tc>
      </w:tr>
      <w:tr w:rsidR="00AD09CF" w:rsidRPr="00AD09CF" w14:paraId="4CC90156" w14:textId="77777777" w:rsidTr="00E341A2">
        <w:tblPrEx>
          <w:tblBorders>
            <w:top w:val="nil"/>
            <w:left w:val="nil"/>
            <w:bottom w:val="nil"/>
            <w:right w:val="nil"/>
            <w:insideH w:val="nil"/>
            <w:insideV w:val="nil"/>
          </w:tblBorders>
        </w:tblPrEx>
        <w:trPr>
          <w:gridBefore w:val="1"/>
          <w:wBefore w:w="9" w:type="dxa"/>
          <w:trHeight w:val="450"/>
        </w:trPr>
        <w:tc>
          <w:tcPr>
            <w:tcW w:w="2543" w:type="dxa"/>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7BEBE555" w14:textId="77777777" w:rsidR="00AD09CF" w:rsidRPr="00AD09CF" w:rsidRDefault="00AD09CF" w:rsidP="00E90D14">
            <w:pPr>
              <w:jc w:val="left"/>
              <w:rPr>
                <w:rFonts w:ascii="Times New Roman" w:eastAsia="Times New Roman" w:hAnsi="Times New Roman" w:cs="Times New Roman"/>
                <w:i/>
                <w:sz w:val="24"/>
                <w:szCs w:val="24"/>
                <w:lang w:val="uk-UA"/>
              </w:rPr>
            </w:pPr>
            <w:r w:rsidRPr="00AD09CF">
              <w:rPr>
                <w:rFonts w:ascii="Times New Roman" w:eastAsia="Times New Roman" w:hAnsi="Times New Roman" w:cs="Times New Roman"/>
                <w:sz w:val="24"/>
                <w:szCs w:val="24"/>
                <w:lang w:val="uk-UA"/>
              </w:rPr>
              <w:t>1) провести моніторинг стану забезпечення осіб/дітей з інвалідністю соціальними та реабілітаційними послугами</w:t>
            </w:r>
          </w:p>
        </w:tc>
        <w:tc>
          <w:tcPr>
            <w:tcW w:w="2268"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14:paraId="23C9F7F9" w14:textId="06CD74C5" w:rsidR="00AD09CF" w:rsidRPr="00AD09CF" w:rsidRDefault="00AD09CF" w:rsidP="00E90D14">
            <w:pPr>
              <w:jc w:val="left"/>
              <w:rPr>
                <w:rFonts w:ascii="Times New Roman" w:eastAsia="Times New Roman" w:hAnsi="Times New Roman" w:cs="Times New Roman"/>
                <w:sz w:val="24"/>
                <w:szCs w:val="24"/>
                <w:lang w:val="uk-UA"/>
              </w:rPr>
            </w:pPr>
            <w:r w:rsidRPr="00AD09CF">
              <w:rPr>
                <w:rFonts w:ascii="Times New Roman" w:eastAsia="Times New Roman" w:hAnsi="Times New Roman" w:cs="Times New Roman"/>
                <w:sz w:val="24"/>
                <w:szCs w:val="24"/>
                <w:lang w:val="uk-UA"/>
              </w:rPr>
              <w:t>Департамент соціального захисту населення обласної держ</w:t>
            </w:r>
            <w:r w:rsidR="00E90D14">
              <w:rPr>
                <w:rFonts w:ascii="Times New Roman" w:eastAsia="Times New Roman" w:hAnsi="Times New Roman" w:cs="Times New Roman"/>
                <w:sz w:val="24"/>
                <w:szCs w:val="24"/>
                <w:lang w:val="uk-UA"/>
              </w:rPr>
              <w:t xml:space="preserve">авної </w:t>
            </w:r>
            <w:r w:rsidRPr="00AD09CF">
              <w:rPr>
                <w:rFonts w:ascii="Times New Roman" w:eastAsia="Times New Roman" w:hAnsi="Times New Roman" w:cs="Times New Roman"/>
                <w:sz w:val="24"/>
                <w:szCs w:val="24"/>
                <w:lang w:val="uk-UA"/>
              </w:rPr>
              <w:t>адміністрації, Р</w:t>
            </w:r>
            <w:r w:rsidR="00E90D14">
              <w:rPr>
                <w:rFonts w:ascii="Times New Roman" w:eastAsia="Times New Roman" w:hAnsi="Times New Roman" w:cs="Times New Roman"/>
                <w:sz w:val="24"/>
                <w:szCs w:val="24"/>
                <w:lang w:val="uk-UA"/>
              </w:rPr>
              <w:t>В</w:t>
            </w:r>
            <w:r w:rsidRPr="00AD09CF">
              <w:rPr>
                <w:rFonts w:ascii="Times New Roman" w:eastAsia="Times New Roman" w:hAnsi="Times New Roman" w:cs="Times New Roman"/>
                <w:sz w:val="24"/>
                <w:szCs w:val="24"/>
                <w:lang w:val="uk-UA"/>
              </w:rPr>
              <w:t>А, ВА, громадські об’єднання осіб з і інвалідністю (за згодою)</w:t>
            </w:r>
          </w:p>
        </w:tc>
        <w:tc>
          <w:tcPr>
            <w:tcW w:w="1417"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14:paraId="163ADC4F" w14:textId="77777777" w:rsidR="00AD09CF" w:rsidRPr="00AD09CF" w:rsidRDefault="00AD09CF" w:rsidP="00AD09CF">
            <w:pPr>
              <w:rPr>
                <w:rFonts w:ascii="Times New Roman" w:eastAsia="Times New Roman" w:hAnsi="Times New Roman" w:cs="Times New Roman"/>
                <w:sz w:val="24"/>
                <w:szCs w:val="24"/>
                <w:lang w:val="uk-UA"/>
              </w:rPr>
            </w:pPr>
            <w:r w:rsidRPr="00AD09CF">
              <w:rPr>
                <w:rFonts w:ascii="Times New Roman" w:eastAsia="Times New Roman" w:hAnsi="Times New Roman" w:cs="Times New Roman"/>
                <w:sz w:val="24"/>
                <w:szCs w:val="24"/>
                <w:lang w:val="uk-UA"/>
              </w:rPr>
              <w:t>01.04.2024</w:t>
            </w:r>
          </w:p>
        </w:tc>
        <w:tc>
          <w:tcPr>
            <w:tcW w:w="1560"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14:paraId="6B2275CC" w14:textId="77777777" w:rsidR="00AD09CF" w:rsidRPr="00AD09CF" w:rsidRDefault="00AD09CF" w:rsidP="00C10BD1">
            <w:pPr>
              <w:rPr>
                <w:rFonts w:ascii="Times New Roman" w:eastAsia="Times New Roman" w:hAnsi="Times New Roman" w:cs="Times New Roman"/>
                <w:sz w:val="24"/>
                <w:szCs w:val="24"/>
                <w:lang w:val="uk-UA"/>
              </w:rPr>
            </w:pPr>
            <w:r w:rsidRPr="00AD09CF">
              <w:rPr>
                <w:rFonts w:ascii="Times New Roman" w:eastAsia="Times New Roman" w:hAnsi="Times New Roman" w:cs="Times New Roman"/>
                <w:sz w:val="24"/>
                <w:szCs w:val="24"/>
                <w:lang w:val="uk-UA"/>
              </w:rPr>
              <w:t>-</w:t>
            </w:r>
          </w:p>
        </w:tc>
        <w:tc>
          <w:tcPr>
            <w:tcW w:w="1417"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14:paraId="240E0EAB" w14:textId="4DBE5877" w:rsidR="00AD09CF" w:rsidRPr="00AD09CF" w:rsidRDefault="00E90D14" w:rsidP="00C114E5">
            <w:pPr>
              <w:ind w:left="-99" w:right="-106"/>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в</w:t>
            </w:r>
            <w:r w:rsidR="00AD09CF" w:rsidRPr="00AD09CF">
              <w:rPr>
                <w:rFonts w:ascii="Times New Roman" w:eastAsia="Times New Roman" w:hAnsi="Times New Roman" w:cs="Times New Roman"/>
                <w:sz w:val="24"/>
                <w:szCs w:val="24"/>
                <w:lang w:val="uk-UA"/>
              </w:rPr>
              <w:t xml:space="preserve">иконується </w:t>
            </w:r>
          </w:p>
        </w:tc>
        <w:tc>
          <w:tcPr>
            <w:tcW w:w="5528"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14:paraId="4A557DD4" w14:textId="47C3C489" w:rsidR="00AD09CF" w:rsidRPr="00C114E5" w:rsidRDefault="00C114E5" w:rsidP="00C114E5">
            <w:pPr>
              <w:jc w:val="left"/>
              <w:rPr>
                <w:rFonts w:ascii="Times New Roman" w:eastAsia="Times New Roman" w:hAnsi="Times New Roman" w:cs="Times New Roman"/>
                <w:iCs/>
                <w:sz w:val="24"/>
                <w:szCs w:val="24"/>
                <w:lang w:val="uk-UA"/>
              </w:rPr>
            </w:pPr>
            <w:r w:rsidRPr="00C114E5">
              <w:rPr>
                <w:rFonts w:ascii="Times New Roman" w:eastAsia="Times New Roman" w:hAnsi="Times New Roman" w:cs="Times New Roman"/>
                <w:iCs/>
                <w:sz w:val="24"/>
                <w:szCs w:val="24"/>
                <w:lang w:val="uk-UA"/>
              </w:rPr>
              <w:t xml:space="preserve">передбачено звітування </w:t>
            </w:r>
            <w:r w:rsidR="0078401C">
              <w:rPr>
                <w:rFonts w:ascii="Times New Roman" w:eastAsia="Times New Roman" w:hAnsi="Times New Roman" w:cs="Times New Roman"/>
                <w:iCs/>
                <w:sz w:val="24"/>
                <w:szCs w:val="24"/>
                <w:lang w:val="uk-UA"/>
              </w:rPr>
              <w:t>у заплановані строки</w:t>
            </w:r>
          </w:p>
        </w:tc>
      </w:tr>
      <w:tr w:rsidR="00AD09CF" w:rsidRPr="00AD09CF" w14:paraId="31791B6F" w14:textId="77777777" w:rsidTr="00E341A2">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8" w:space="0" w:color="333333"/>
            </w:tcBorders>
            <w:shd w:val="clear" w:color="auto" w:fill="auto"/>
            <w:tcMar>
              <w:top w:w="100" w:type="dxa"/>
              <w:left w:w="100" w:type="dxa"/>
              <w:bottom w:w="100" w:type="dxa"/>
              <w:right w:w="100" w:type="dxa"/>
            </w:tcMar>
          </w:tcPr>
          <w:p w14:paraId="5645197B" w14:textId="77777777" w:rsidR="00AD09CF" w:rsidRPr="00AD09CF" w:rsidRDefault="00AD09CF" w:rsidP="00E90D14">
            <w:pPr>
              <w:jc w:val="left"/>
              <w:rPr>
                <w:rFonts w:ascii="Times New Roman" w:eastAsia="Times New Roman" w:hAnsi="Times New Roman" w:cs="Times New Roman"/>
                <w:i/>
                <w:sz w:val="24"/>
                <w:szCs w:val="24"/>
                <w:lang w:val="uk-UA"/>
              </w:rPr>
            </w:pPr>
            <w:r w:rsidRPr="00AD09CF">
              <w:rPr>
                <w:rFonts w:ascii="Times New Roman" w:eastAsia="Times New Roman" w:hAnsi="Times New Roman" w:cs="Times New Roman"/>
                <w:sz w:val="24"/>
                <w:szCs w:val="24"/>
                <w:lang w:val="uk-UA"/>
              </w:rPr>
              <w:t xml:space="preserve">2) утворити центри/відділення раннього втручання із впровадженням послуги «раннє втручання» з урахуванням потреб </w:t>
            </w:r>
            <w:r w:rsidRPr="00AD09CF">
              <w:rPr>
                <w:rFonts w:ascii="Times New Roman" w:eastAsia="Times New Roman" w:hAnsi="Times New Roman" w:cs="Times New Roman"/>
                <w:sz w:val="24"/>
                <w:szCs w:val="24"/>
                <w:lang w:val="uk-UA"/>
              </w:rPr>
              <w:lastRenderedPageBreak/>
              <w:t>та фінансових можливостей відповідної адміністративно-територіальної одиниці</w:t>
            </w:r>
          </w:p>
        </w:tc>
        <w:tc>
          <w:tcPr>
            <w:tcW w:w="2268" w:type="dxa"/>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33EF6A56" w14:textId="6652EA75" w:rsidR="00AD09CF" w:rsidRPr="00AD09CF" w:rsidRDefault="00AD09CF" w:rsidP="00E90D14">
            <w:pPr>
              <w:jc w:val="left"/>
              <w:rPr>
                <w:rFonts w:ascii="Times New Roman" w:eastAsia="Times New Roman" w:hAnsi="Times New Roman" w:cs="Times New Roman"/>
                <w:sz w:val="24"/>
                <w:szCs w:val="24"/>
                <w:lang w:val="uk-UA"/>
              </w:rPr>
            </w:pPr>
            <w:r w:rsidRPr="00AD09CF">
              <w:rPr>
                <w:rFonts w:ascii="Times New Roman" w:eastAsia="Times New Roman" w:hAnsi="Times New Roman" w:cs="Times New Roman"/>
                <w:sz w:val="24"/>
                <w:szCs w:val="24"/>
                <w:lang w:val="uk-UA"/>
              </w:rPr>
              <w:lastRenderedPageBreak/>
              <w:t>Р</w:t>
            </w:r>
            <w:r w:rsidR="00E90D14">
              <w:rPr>
                <w:rFonts w:ascii="Times New Roman" w:eastAsia="Times New Roman" w:hAnsi="Times New Roman" w:cs="Times New Roman"/>
                <w:sz w:val="24"/>
                <w:szCs w:val="24"/>
                <w:lang w:val="uk-UA"/>
              </w:rPr>
              <w:t>В</w:t>
            </w:r>
            <w:r w:rsidRPr="00AD09CF">
              <w:rPr>
                <w:rFonts w:ascii="Times New Roman" w:eastAsia="Times New Roman" w:hAnsi="Times New Roman" w:cs="Times New Roman"/>
                <w:sz w:val="24"/>
                <w:szCs w:val="24"/>
                <w:lang w:val="uk-UA"/>
              </w:rPr>
              <w:t>А, ВА, громадські об’єднання осіб з інвалідністю (за згодою)</w:t>
            </w:r>
          </w:p>
        </w:tc>
        <w:tc>
          <w:tcPr>
            <w:tcW w:w="1417" w:type="dxa"/>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02CF393E" w14:textId="77777777" w:rsidR="00AD09CF" w:rsidRPr="00AD09CF" w:rsidRDefault="00AD09CF" w:rsidP="00AD09CF">
            <w:pPr>
              <w:rPr>
                <w:rFonts w:ascii="Times New Roman" w:eastAsia="Times New Roman" w:hAnsi="Times New Roman" w:cs="Times New Roman"/>
                <w:sz w:val="24"/>
                <w:szCs w:val="24"/>
                <w:lang w:val="uk-UA"/>
              </w:rPr>
            </w:pPr>
            <w:r w:rsidRPr="00AD09CF">
              <w:rPr>
                <w:rFonts w:ascii="Times New Roman" w:eastAsia="Times New Roman" w:hAnsi="Times New Roman" w:cs="Times New Roman"/>
                <w:sz w:val="24"/>
                <w:szCs w:val="24"/>
                <w:lang w:val="uk-UA"/>
              </w:rPr>
              <w:t>30.12.2024</w:t>
            </w:r>
          </w:p>
        </w:tc>
        <w:tc>
          <w:tcPr>
            <w:tcW w:w="1560" w:type="dxa"/>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62D3A463" w14:textId="77777777" w:rsidR="00AD09CF" w:rsidRPr="00AD09CF" w:rsidRDefault="00AD09CF" w:rsidP="00C10BD1">
            <w:pPr>
              <w:rPr>
                <w:rFonts w:ascii="Times New Roman" w:eastAsia="Times New Roman" w:hAnsi="Times New Roman" w:cs="Times New Roman"/>
                <w:sz w:val="24"/>
                <w:szCs w:val="24"/>
                <w:lang w:val="uk-UA"/>
              </w:rPr>
            </w:pPr>
            <w:r w:rsidRPr="00AD09CF">
              <w:rPr>
                <w:rFonts w:ascii="Times New Roman" w:eastAsia="Times New Roman" w:hAnsi="Times New Roman" w:cs="Times New Roman"/>
                <w:sz w:val="24"/>
                <w:szCs w:val="24"/>
                <w:lang w:val="uk-UA"/>
              </w:rPr>
              <w:t>-</w:t>
            </w:r>
          </w:p>
        </w:tc>
        <w:tc>
          <w:tcPr>
            <w:tcW w:w="1417" w:type="dxa"/>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6C5651E4" w14:textId="3B2FFF82" w:rsidR="00AD09CF" w:rsidRPr="00AD09CF" w:rsidRDefault="00E90D14" w:rsidP="00C114E5">
            <w:pPr>
              <w:ind w:left="-99" w:right="-106"/>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в</w:t>
            </w:r>
            <w:r w:rsidR="00AD09CF" w:rsidRPr="00AD09CF">
              <w:rPr>
                <w:rFonts w:ascii="Times New Roman" w:eastAsia="Times New Roman" w:hAnsi="Times New Roman" w:cs="Times New Roman"/>
                <w:sz w:val="24"/>
                <w:szCs w:val="24"/>
                <w:lang w:val="uk-UA"/>
              </w:rPr>
              <w:t xml:space="preserve">иконується </w:t>
            </w:r>
          </w:p>
        </w:tc>
        <w:tc>
          <w:tcPr>
            <w:tcW w:w="5528" w:type="dxa"/>
            <w:tcBorders>
              <w:top w:val="single" w:sz="4" w:space="0" w:color="auto"/>
              <w:left w:val="single" w:sz="8" w:space="0" w:color="333333"/>
              <w:bottom w:val="single" w:sz="4" w:space="0" w:color="auto"/>
              <w:right w:val="single" w:sz="4" w:space="0" w:color="auto"/>
            </w:tcBorders>
            <w:shd w:val="clear" w:color="auto" w:fill="auto"/>
            <w:tcMar>
              <w:top w:w="100" w:type="dxa"/>
              <w:left w:w="100" w:type="dxa"/>
              <w:bottom w:w="100" w:type="dxa"/>
              <w:right w:w="100" w:type="dxa"/>
            </w:tcMar>
          </w:tcPr>
          <w:p w14:paraId="46908633" w14:textId="7A1876AE" w:rsidR="00AD09CF" w:rsidRPr="00C114E5" w:rsidRDefault="0078401C" w:rsidP="00C114E5">
            <w:pPr>
              <w:jc w:val="left"/>
              <w:rPr>
                <w:rFonts w:ascii="Times New Roman" w:eastAsia="Times New Roman" w:hAnsi="Times New Roman" w:cs="Times New Roman"/>
                <w:iCs/>
                <w:sz w:val="24"/>
                <w:szCs w:val="24"/>
                <w:lang w:val="uk-UA"/>
              </w:rPr>
            </w:pPr>
            <w:r w:rsidRPr="0078401C">
              <w:rPr>
                <w:rFonts w:ascii="Times New Roman" w:eastAsia="Times New Roman" w:hAnsi="Times New Roman" w:cs="Times New Roman"/>
                <w:iCs/>
                <w:sz w:val="24"/>
                <w:szCs w:val="24"/>
                <w:lang w:val="uk-UA"/>
              </w:rPr>
              <w:t>передбачено звітування у заплановані строки</w:t>
            </w:r>
          </w:p>
        </w:tc>
      </w:tr>
      <w:tr w:rsidR="00AD09CF" w:rsidRPr="00AD09CF" w14:paraId="46BB2A7F" w14:textId="77777777" w:rsidTr="00C114E5">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1E410D" w14:textId="77777777" w:rsidR="00AD09CF" w:rsidRPr="00AD09CF" w:rsidRDefault="00AD09CF" w:rsidP="00E90D14">
            <w:pPr>
              <w:jc w:val="left"/>
              <w:rPr>
                <w:rFonts w:ascii="Times New Roman" w:eastAsia="Times New Roman" w:hAnsi="Times New Roman" w:cs="Times New Roman"/>
                <w:i/>
                <w:sz w:val="24"/>
                <w:szCs w:val="24"/>
                <w:lang w:val="uk-UA"/>
              </w:rPr>
            </w:pPr>
            <w:r w:rsidRPr="00AD09CF">
              <w:rPr>
                <w:rFonts w:ascii="Times New Roman" w:eastAsia="Times New Roman" w:hAnsi="Times New Roman" w:cs="Times New Roman"/>
                <w:sz w:val="24"/>
                <w:szCs w:val="24"/>
                <w:lang w:val="uk-UA"/>
              </w:rPr>
              <w:t>3) провести моніторинг та оцінювання якості послуги «раннє втручання», що вже надається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B24D64" w14:textId="6225D84A" w:rsidR="00AD09CF" w:rsidRPr="00AD09CF" w:rsidRDefault="00AD09CF" w:rsidP="00E90D14">
            <w:pPr>
              <w:jc w:val="left"/>
              <w:rPr>
                <w:rFonts w:ascii="Times New Roman" w:eastAsia="Times New Roman" w:hAnsi="Times New Roman" w:cs="Times New Roman"/>
                <w:sz w:val="24"/>
                <w:szCs w:val="24"/>
                <w:lang w:val="uk-UA"/>
              </w:rPr>
            </w:pPr>
            <w:r w:rsidRPr="00AD09CF">
              <w:rPr>
                <w:rFonts w:ascii="Times New Roman" w:eastAsia="Times New Roman" w:hAnsi="Times New Roman" w:cs="Times New Roman"/>
                <w:sz w:val="24"/>
                <w:szCs w:val="24"/>
                <w:lang w:val="uk-UA"/>
              </w:rPr>
              <w:t xml:space="preserve">Департаменти  </w:t>
            </w:r>
            <w:r w:rsidR="00F66D00">
              <w:rPr>
                <w:rFonts w:ascii="Times New Roman" w:eastAsia="Times New Roman" w:hAnsi="Times New Roman" w:cs="Times New Roman"/>
                <w:sz w:val="24"/>
                <w:szCs w:val="24"/>
                <w:lang w:val="uk-UA"/>
              </w:rPr>
              <w:t>обласної державної адміністрації</w:t>
            </w:r>
            <w:r w:rsidRPr="00AD09CF">
              <w:rPr>
                <w:rFonts w:ascii="Times New Roman" w:eastAsia="Times New Roman" w:hAnsi="Times New Roman" w:cs="Times New Roman"/>
                <w:sz w:val="24"/>
                <w:szCs w:val="24"/>
                <w:lang w:val="uk-UA"/>
              </w:rPr>
              <w:t>: соціального захисту населення; охорони здоров’я, Р</w:t>
            </w:r>
            <w:r w:rsidR="00760B25">
              <w:rPr>
                <w:rFonts w:ascii="Times New Roman" w:eastAsia="Times New Roman" w:hAnsi="Times New Roman" w:cs="Times New Roman"/>
                <w:sz w:val="24"/>
                <w:szCs w:val="24"/>
                <w:lang w:val="uk-UA"/>
              </w:rPr>
              <w:t>В</w:t>
            </w:r>
            <w:r w:rsidRPr="00AD09CF">
              <w:rPr>
                <w:rFonts w:ascii="Times New Roman" w:eastAsia="Times New Roman" w:hAnsi="Times New Roman" w:cs="Times New Roman"/>
                <w:sz w:val="24"/>
                <w:szCs w:val="24"/>
                <w:lang w:val="uk-UA"/>
              </w:rPr>
              <w:t>А, 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4FBB9D" w14:textId="77777777" w:rsidR="00AD09CF" w:rsidRPr="00AD09CF" w:rsidRDefault="00AD09CF" w:rsidP="00AD09CF">
            <w:pPr>
              <w:rPr>
                <w:rFonts w:ascii="Times New Roman" w:eastAsia="Times New Roman" w:hAnsi="Times New Roman" w:cs="Times New Roman"/>
                <w:sz w:val="24"/>
                <w:szCs w:val="24"/>
                <w:lang w:val="uk-UA"/>
              </w:rPr>
            </w:pPr>
            <w:r w:rsidRPr="00AD09CF">
              <w:rPr>
                <w:rFonts w:ascii="Times New Roman" w:eastAsia="Times New Roman" w:hAnsi="Times New Roman" w:cs="Times New Roman"/>
                <w:sz w:val="24"/>
                <w:szCs w:val="24"/>
                <w:lang w:val="uk-UA"/>
              </w:rPr>
              <w:t>25.12.2024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DD380B" w14:textId="77777777" w:rsidR="00AD09CF" w:rsidRPr="00AD09CF" w:rsidRDefault="00AD09CF" w:rsidP="00E90D14">
            <w:pPr>
              <w:rPr>
                <w:rFonts w:ascii="Times New Roman" w:eastAsia="Times New Roman" w:hAnsi="Times New Roman" w:cs="Times New Roman"/>
                <w:sz w:val="24"/>
                <w:szCs w:val="24"/>
                <w:lang w:val="uk-UA"/>
              </w:rPr>
            </w:pPr>
            <w:r w:rsidRPr="00AD09CF">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BBFF2C" w14:textId="68A11567" w:rsidR="00AD09CF" w:rsidRPr="00AD09CF" w:rsidRDefault="00E90D14" w:rsidP="00C114E5">
            <w:pPr>
              <w:ind w:left="-99"/>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lang w:val="uk-UA"/>
              </w:rPr>
              <w:t>в</w:t>
            </w:r>
            <w:r w:rsidR="00AD09CF" w:rsidRPr="00AD09CF">
              <w:rPr>
                <w:rFonts w:ascii="Times New Roman" w:eastAsia="Times New Roman" w:hAnsi="Times New Roman" w:cs="Times New Roman"/>
                <w:sz w:val="24"/>
                <w:szCs w:val="24"/>
                <w:lang w:val="uk-UA"/>
              </w:rPr>
              <w:t xml:space="preserve">иконується </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391A85" w14:textId="10286886" w:rsidR="00AD09CF" w:rsidRPr="00C114E5" w:rsidRDefault="0078401C" w:rsidP="00C114E5">
            <w:pPr>
              <w:jc w:val="left"/>
              <w:rPr>
                <w:rFonts w:ascii="Times New Roman" w:eastAsia="Times New Roman" w:hAnsi="Times New Roman" w:cs="Times New Roman"/>
                <w:iCs/>
                <w:sz w:val="24"/>
                <w:szCs w:val="24"/>
                <w:lang w:val="uk-UA"/>
              </w:rPr>
            </w:pPr>
            <w:r w:rsidRPr="0078401C">
              <w:rPr>
                <w:rFonts w:ascii="Times New Roman" w:eastAsia="Times New Roman" w:hAnsi="Times New Roman" w:cs="Times New Roman"/>
                <w:iCs/>
                <w:sz w:val="24"/>
                <w:szCs w:val="24"/>
                <w:lang w:val="uk-UA"/>
              </w:rPr>
              <w:t>передбачено звітування у заплановані строки</w:t>
            </w:r>
          </w:p>
        </w:tc>
      </w:tr>
      <w:tr w:rsidR="00AD09CF" w:rsidRPr="00AD09CF" w14:paraId="5E6D6B62" w14:textId="77777777" w:rsidTr="00E90D14">
        <w:tblPrEx>
          <w:tblBorders>
            <w:top w:val="nil"/>
            <w:left w:val="nil"/>
            <w:bottom w:val="nil"/>
            <w:right w:val="nil"/>
            <w:insideH w:val="nil"/>
            <w:insideV w:val="nil"/>
          </w:tblBorders>
        </w:tblPrEx>
        <w:trPr>
          <w:gridBefore w:val="1"/>
          <w:wBefore w:w="9" w:type="dxa"/>
          <w:trHeight w:val="450"/>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5DDCBD" w14:textId="77777777" w:rsidR="00AD09CF" w:rsidRPr="00AD09CF" w:rsidRDefault="00AD09CF" w:rsidP="00AD09CF">
            <w:pPr>
              <w:rPr>
                <w:rFonts w:ascii="Times New Roman" w:eastAsia="Times New Roman" w:hAnsi="Times New Roman" w:cs="Times New Roman"/>
                <w:b/>
                <w:bCs/>
                <w:iCs/>
                <w:sz w:val="24"/>
                <w:szCs w:val="24"/>
                <w:lang w:val="uk-UA"/>
              </w:rPr>
            </w:pPr>
            <w:r w:rsidRPr="00AD09CF">
              <w:rPr>
                <w:rFonts w:ascii="Times New Roman" w:eastAsia="Times New Roman" w:hAnsi="Times New Roman" w:cs="Times New Roman"/>
                <w:b/>
                <w:bCs/>
                <w:iCs/>
                <w:sz w:val="24"/>
                <w:szCs w:val="24"/>
                <w:lang w:val="uk-UA"/>
              </w:rPr>
              <w:t>Напрям IV. Освітня безбар’єрність:</w:t>
            </w:r>
          </w:p>
          <w:p w14:paraId="7CE9E0C0" w14:textId="77777777" w:rsidR="00AD09CF" w:rsidRPr="00AD09CF" w:rsidRDefault="00AD09CF" w:rsidP="00AD09CF">
            <w:pPr>
              <w:rPr>
                <w:rFonts w:ascii="Times New Roman" w:eastAsia="Times New Roman" w:hAnsi="Times New Roman" w:cs="Times New Roman"/>
                <w:iCs/>
                <w:sz w:val="24"/>
                <w:szCs w:val="24"/>
                <w:lang w:val="uk-UA"/>
              </w:rPr>
            </w:pPr>
            <w:r w:rsidRPr="00AD09CF">
              <w:rPr>
                <w:rFonts w:ascii="Times New Roman" w:eastAsia="Times New Roman" w:hAnsi="Times New Roman" w:cs="Times New Roman"/>
                <w:iCs/>
                <w:sz w:val="24"/>
                <w:szCs w:val="24"/>
                <w:lang w:val="uk-UA"/>
              </w:rPr>
              <w:t>створено рівні можливості та вільний доступ до освіти, зокрема освіти протягом життя, а також здобуття іншої професії, підвищення</w:t>
            </w:r>
          </w:p>
          <w:p w14:paraId="15AE6535" w14:textId="1F0BD4EF" w:rsidR="00AD09CF" w:rsidRPr="00AD09CF" w:rsidRDefault="00AD09CF" w:rsidP="00AD09CF">
            <w:pPr>
              <w:rPr>
                <w:rFonts w:ascii="Times New Roman" w:eastAsia="Times New Roman" w:hAnsi="Times New Roman" w:cs="Times New Roman"/>
                <w:iCs/>
                <w:sz w:val="24"/>
                <w:szCs w:val="24"/>
                <w:lang w:val="uk-UA"/>
              </w:rPr>
            </w:pPr>
            <w:r w:rsidRPr="00AD09CF">
              <w:rPr>
                <w:rFonts w:ascii="Times New Roman" w:eastAsia="Times New Roman" w:hAnsi="Times New Roman" w:cs="Times New Roman"/>
                <w:iCs/>
                <w:sz w:val="24"/>
                <w:szCs w:val="24"/>
                <w:lang w:val="uk-UA"/>
              </w:rPr>
              <w:t>кваліфікації та опанування додаткових компетентностей</w:t>
            </w:r>
          </w:p>
        </w:tc>
      </w:tr>
      <w:tr w:rsidR="00AD09CF" w:rsidRPr="00AD09CF" w14:paraId="0EA99145" w14:textId="77777777" w:rsidTr="00E90D14">
        <w:tblPrEx>
          <w:tblBorders>
            <w:top w:val="nil"/>
            <w:left w:val="nil"/>
            <w:bottom w:val="nil"/>
            <w:right w:val="nil"/>
            <w:insideH w:val="nil"/>
            <w:insideV w:val="nil"/>
          </w:tblBorders>
        </w:tblPrEx>
        <w:trPr>
          <w:gridBefore w:val="1"/>
          <w:wBefore w:w="9" w:type="dxa"/>
          <w:trHeight w:val="286"/>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7FC5F" w14:textId="23F4878D" w:rsidR="00AD09CF" w:rsidRPr="00AD09CF" w:rsidRDefault="00AD09CF" w:rsidP="00AD09CF">
            <w:pPr>
              <w:rPr>
                <w:rFonts w:ascii="Times New Roman" w:eastAsia="Times New Roman" w:hAnsi="Times New Roman" w:cs="Times New Roman"/>
                <w:iCs/>
                <w:sz w:val="24"/>
                <w:szCs w:val="24"/>
                <w:lang w:val="uk-UA"/>
              </w:rPr>
            </w:pPr>
            <w:r w:rsidRPr="00AD09CF">
              <w:rPr>
                <w:rFonts w:ascii="Times New Roman" w:eastAsia="Times New Roman" w:hAnsi="Times New Roman" w:cs="Times New Roman"/>
                <w:iCs/>
                <w:sz w:val="24"/>
                <w:szCs w:val="24"/>
                <w:lang w:val="uk-UA"/>
              </w:rPr>
              <w:t>Стратегічна ціль: освітні потреби дорослих, молоді та дітей забезпечені якісною освітою продовж життя</w:t>
            </w:r>
          </w:p>
        </w:tc>
      </w:tr>
      <w:tr w:rsidR="00AD09CF" w:rsidRPr="00AD09CF" w14:paraId="3439621B" w14:textId="77777777" w:rsidTr="00E90D14">
        <w:tblPrEx>
          <w:tblBorders>
            <w:top w:val="nil"/>
            <w:left w:val="nil"/>
            <w:bottom w:val="nil"/>
            <w:right w:val="nil"/>
            <w:insideH w:val="nil"/>
            <w:insideV w:val="nil"/>
          </w:tblBorders>
        </w:tblPrEx>
        <w:trPr>
          <w:gridBefore w:val="1"/>
          <w:wBefore w:w="9" w:type="dxa"/>
          <w:trHeight w:val="322"/>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0C3AD3" w14:textId="7D27476C" w:rsidR="00AD09CF" w:rsidRPr="00AD09CF" w:rsidRDefault="00AD09CF" w:rsidP="00AD09CF">
            <w:pPr>
              <w:rPr>
                <w:rFonts w:ascii="Times New Roman" w:eastAsia="Times New Roman" w:hAnsi="Times New Roman" w:cs="Times New Roman"/>
                <w:iCs/>
                <w:sz w:val="24"/>
                <w:szCs w:val="24"/>
                <w:lang w:val="uk-UA"/>
              </w:rPr>
            </w:pPr>
            <w:r w:rsidRPr="00AD09CF">
              <w:rPr>
                <w:rFonts w:ascii="Times New Roman" w:eastAsia="Times New Roman" w:hAnsi="Times New Roman" w:cs="Times New Roman"/>
                <w:iCs/>
                <w:sz w:val="24"/>
                <w:szCs w:val="24"/>
                <w:lang w:val="uk-UA"/>
              </w:rPr>
              <w:t>Завдання 1. Забезпечено освітні потреби дорослих, молоді та дітей якісною освітою впродовж жит</w:t>
            </w:r>
            <w:r>
              <w:rPr>
                <w:rFonts w:ascii="Times New Roman" w:eastAsia="Times New Roman" w:hAnsi="Times New Roman" w:cs="Times New Roman"/>
                <w:iCs/>
                <w:sz w:val="24"/>
                <w:szCs w:val="24"/>
                <w:lang w:val="uk-UA"/>
              </w:rPr>
              <w:t>тя</w:t>
            </w:r>
          </w:p>
        </w:tc>
      </w:tr>
      <w:tr w:rsidR="00AD09CF" w:rsidRPr="00AD09CF" w14:paraId="78A7D736" w14:textId="77777777" w:rsidTr="00C114E5">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CCD322" w14:textId="77777777" w:rsidR="00382911" w:rsidRPr="00382911" w:rsidRDefault="00382911" w:rsidP="00B83EAF">
            <w:pPr>
              <w:jc w:val="left"/>
              <w:rPr>
                <w:rFonts w:ascii="Times New Roman" w:eastAsia="Times New Roman" w:hAnsi="Times New Roman" w:cs="Times New Roman"/>
                <w:sz w:val="24"/>
                <w:szCs w:val="24"/>
                <w:lang w:val="uk-UA"/>
              </w:rPr>
            </w:pPr>
            <w:r w:rsidRPr="00382911">
              <w:rPr>
                <w:rFonts w:ascii="Times New Roman" w:eastAsia="Times New Roman" w:hAnsi="Times New Roman" w:cs="Times New Roman"/>
                <w:sz w:val="24"/>
                <w:szCs w:val="24"/>
                <w:lang w:val="uk-UA"/>
              </w:rPr>
              <w:t>1) сприяти</w:t>
            </w:r>
          </w:p>
          <w:p w14:paraId="0ECC9AFE" w14:textId="77777777" w:rsidR="00382911" w:rsidRPr="00382911" w:rsidRDefault="00382911" w:rsidP="00B83EAF">
            <w:pPr>
              <w:jc w:val="left"/>
              <w:rPr>
                <w:rFonts w:ascii="Times New Roman" w:eastAsia="Times New Roman" w:hAnsi="Times New Roman" w:cs="Times New Roman"/>
                <w:sz w:val="24"/>
                <w:szCs w:val="24"/>
                <w:lang w:val="uk-UA"/>
              </w:rPr>
            </w:pPr>
            <w:r w:rsidRPr="00382911">
              <w:rPr>
                <w:rFonts w:ascii="Times New Roman" w:eastAsia="Times New Roman" w:hAnsi="Times New Roman" w:cs="Times New Roman"/>
                <w:sz w:val="24"/>
                <w:szCs w:val="24"/>
                <w:lang w:val="uk-UA"/>
              </w:rPr>
              <w:t>впровадженню</w:t>
            </w:r>
          </w:p>
          <w:p w14:paraId="5A62BB5E" w14:textId="77777777" w:rsidR="00382911" w:rsidRPr="00382911" w:rsidRDefault="00382911" w:rsidP="00B83EAF">
            <w:pPr>
              <w:jc w:val="left"/>
              <w:rPr>
                <w:rFonts w:ascii="Times New Roman" w:eastAsia="Times New Roman" w:hAnsi="Times New Roman" w:cs="Times New Roman"/>
                <w:sz w:val="24"/>
                <w:szCs w:val="24"/>
                <w:lang w:val="uk-UA"/>
              </w:rPr>
            </w:pPr>
            <w:r w:rsidRPr="00382911">
              <w:rPr>
                <w:rFonts w:ascii="Times New Roman" w:eastAsia="Times New Roman" w:hAnsi="Times New Roman" w:cs="Times New Roman"/>
                <w:sz w:val="24"/>
                <w:szCs w:val="24"/>
                <w:lang w:val="uk-UA"/>
              </w:rPr>
              <w:t>Закону України</w:t>
            </w:r>
          </w:p>
          <w:p w14:paraId="18BAEEBA" w14:textId="77777777" w:rsidR="00382911" w:rsidRPr="00382911" w:rsidRDefault="00382911" w:rsidP="00B83EAF">
            <w:pPr>
              <w:jc w:val="left"/>
              <w:rPr>
                <w:rFonts w:ascii="Times New Roman" w:eastAsia="Times New Roman" w:hAnsi="Times New Roman" w:cs="Times New Roman"/>
                <w:sz w:val="24"/>
                <w:szCs w:val="24"/>
                <w:lang w:val="uk-UA"/>
              </w:rPr>
            </w:pPr>
            <w:r w:rsidRPr="00382911">
              <w:rPr>
                <w:rFonts w:ascii="Times New Roman" w:eastAsia="Times New Roman" w:hAnsi="Times New Roman" w:cs="Times New Roman"/>
                <w:sz w:val="24"/>
                <w:szCs w:val="24"/>
                <w:lang w:val="uk-UA"/>
              </w:rPr>
              <w:t>«Про освіту</w:t>
            </w:r>
          </w:p>
          <w:p w14:paraId="7D3F38FB" w14:textId="5665066C" w:rsidR="00AD09CF" w:rsidRPr="00AD09CF" w:rsidRDefault="00382911" w:rsidP="00B83EAF">
            <w:pPr>
              <w:jc w:val="left"/>
              <w:rPr>
                <w:rFonts w:ascii="Times New Roman" w:eastAsia="Times New Roman" w:hAnsi="Times New Roman" w:cs="Times New Roman"/>
                <w:sz w:val="24"/>
                <w:szCs w:val="24"/>
                <w:lang w:val="uk-UA"/>
              </w:rPr>
            </w:pPr>
            <w:r w:rsidRPr="00382911">
              <w:rPr>
                <w:rFonts w:ascii="Times New Roman" w:eastAsia="Times New Roman" w:hAnsi="Times New Roman" w:cs="Times New Roman"/>
                <w:sz w:val="24"/>
                <w:szCs w:val="24"/>
                <w:lang w:val="uk-UA"/>
              </w:rPr>
              <w:t>дорослих»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0E7DB3"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Департамент</w:t>
            </w:r>
          </w:p>
          <w:p w14:paraId="5FF91E7C"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освіти і науки</w:t>
            </w:r>
          </w:p>
          <w:p w14:paraId="73135F86"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обласної</w:t>
            </w:r>
          </w:p>
          <w:p w14:paraId="494487C6" w14:textId="60FCB192"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держ</w:t>
            </w:r>
            <w:r w:rsidR="00760B25">
              <w:rPr>
                <w:rFonts w:ascii="Times New Roman" w:eastAsia="Times New Roman" w:hAnsi="Times New Roman" w:cs="Times New Roman"/>
                <w:sz w:val="24"/>
                <w:szCs w:val="24"/>
                <w:lang w:val="uk-UA"/>
              </w:rPr>
              <w:t xml:space="preserve">авної </w:t>
            </w:r>
            <w:r w:rsidRPr="00A37007">
              <w:rPr>
                <w:rFonts w:ascii="Times New Roman" w:eastAsia="Times New Roman" w:hAnsi="Times New Roman" w:cs="Times New Roman"/>
                <w:sz w:val="24"/>
                <w:szCs w:val="24"/>
                <w:lang w:val="uk-UA"/>
              </w:rPr>
              <w:t>адміністрації, заклади вищої</w:t>
            </w:r>
          </w:p>
          <w:p w14:paraId="7D79FDB3" w14:textId="65198694" w:rsidR="00AD09CF" w:rsidRPr="00AD09CF"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освіти (за згодою)</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06BA6E" w14:textId="29920994" w:rsidR="00AD09CF" w:rsidRPr="00AD09CF" w:rsidRDefault="00A37007" w:rsidP="00A37007">
            <w:pPr>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 xml:space="preserve">30.12.2024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2AF849" w14:textId="35F87243" w:rsidR="00AD09CF" w:rsidRPr="00AD09CF" w:rsidRDefault="00A37007" w:rsidP="00A37007">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83D8B1" w14:textId="4DE71AB5" w:rsidR="00AD09CF" w:rsidRPr="00973282" w:rsidRDefault="00A37007" w:rsidP="00A37007">
            <w:pPr>
              <w:rPr>
                <w:rFonts w:ascii="Times New Roman" w:eastAsia="Times New Roman" w:hAnsi="Times New Roman" w:cs="Times New Roman"/>
                <w:sz w:val="24"/>
                <w:szCs w:val="24"/>
                <w:lang w:val="uk-UA"/>
              </w:rPr>
            </w:pPr>
            <w:r w:rsidRPr="00973282">
              <w:rPr>
                <w:rFonts w:ascii="Times New Roman" w:eastAsia="Times New Roman" w:hAnsi="Times New Roman" w:cs="Times New Roman"/>
                <w:sz w:val="24"/>
                <w:szCs w:val="24"/>
                <w:lang w:val="uk-UA"/>
              </w:rPr>
              <w:t>не розпочато</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1CE5C7" w14:textId="3078FCEB" w:rsidR="00AD09CF" w:rsidRPr="00973282" w:rsidRDefault="00A37007" w:rsidP="00B83EAF">
            <w:pPr>
              <w:jc w:val="left"/>
              <w:rPr>
                <w:rFonts w:ascii="Times New Roman" w:eastAsia="Times New Roman" w:hAnsi="Times New Roman" w:cs="Times New Roman"/>
                <w:iCs/>
                <w:sz w:val="24"/>
                <w:szCs w:val="24"/>
                <w:lang w:val="uk-UA"/>
              </w:rPr>
            </w:pPr>
            <w:r w:rsidRPr="00973282">
              <w:rPr>
                <w:rFonts w:ascii="Times New Roman" w:eastAsia="Times New Roman" w:hAnsi="Times New Roman" w:cs="Times New Roman"/>
                <w:iCs/>
                <w:sz w:val="24"/>
                <w:szCs w:val="24"/>
                <w:lang w:val="uk-UA"/>
              </w:rPr>
              <w:t>Верховна Рада України 12 січня 2023 р. прийняла за основу проект Закону «Про освіту дорослих» (реєстр. №7039)</w:t>
            </w:r>
          </w:p>
        </w:tc>
      </w:tr>
      <w:tr w:rsidR="00AD09CF" w:rsidRPr="00AD09CF" w14:paraId="2E82B541" w14:textId="77777777" w:rsidTr="003922ED">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46EB4D"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lastRenderedPageBreak/>
              <w:t>2) забезпечити</w:t>
            </w:r>
          </w:p>
          <w:p w14:paraId="28BDD744"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надання</w:t>
            </w:r>
          </w:p>
          <w:p w14:paraId="15F805ED"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дистанційно</w:t>
            </w:r>
          </w:p>
          <w:p w14:paraId="67080DBE"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освітніх послуг у</w:t>
            </w:r>
          </w:p>
          <w:p w14:paraId="3B041827"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закладах освіти</w:t>
            </w:r>
          </w:p>
          <w:p w14:paraId="59F81D3D" w14:textId="271F59C0" w:rsidR="00AD09CF" w:rsidRPr="00AD09CF"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області</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66B172"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Департамент</w:t>
            </w:r>
          </w:p>
          <w:p w14:paraId="1DB23450"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освіти і науки</w:t>
            </w:r>
          </w:p>
          <w:p w14:paraId="588DA8FE" w14:textId="77777777" w:rsidR="00A37007" w:rsidRPr="00A37007"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обласної</w:t>
            </w:r>
          </w:p>
          <w:p w14:paraId="1E869949" w14:textId="3661FE2C" w:rsidR="00AD09CF" w:rsidRPr="00AD09CF" w:rsidRDefault="00A37007" w:rsidP="00B83EAF">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держ</w:t>
            </w:r>
            <w:r w:rsidR="00760B25">
              <w:rPr>
                <w:rFonts w:ascii="Times New Roman" w:eastAsia="Times New Roman" w:hAnsi="Times New Roman" w:cs="Times New Roman"/>
                <w:sz w:val="24"/>
                <w:szCs w:val="24"/>
                <w:lang w:val="uk-UA"/>
              </w:rPr>
              <w:t xml:space="preserve">авної </w:t>
            </w:r>
            <w:r w:rsidRPr="00A37007">
              <w:rPr>
                <w:rFonts w:ascii="Times New Roman" w:eastAsia="Times New Roman" w:hAnsi="Times New Roman" w:cs="Times New Roman"/>
                <w:sz w:val="24"/>
                <w:szCs w:val="24"/>
                <w:lang w:val="uk-UA"/>
              </w:rPr>
              <w:t>адміністрації, 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33D1E" w14:textId="2B2056E0" w:rsidR="00AD09CF" w:rsidRPr="00AD09CF" w:rsidRDefault="00A37007" w:rsidP="00AD09CF">
            <w:pPr>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30.12.2024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3C7931" w14:textId="50B04E9B" w:rsidR="00AD09CF" w:rsidRPr="00AD09CF" w:rsidRDefault="00A37007" w:rsidP="00AD09CF">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01.0</w:t>
            </w:r>
            <w:r w:rsidR="00BF5377">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lang w:val="uk-UA"/>
              </w:rPr>
              <w:t>.2023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025013" w14:textId="60BAAC60" w:rsidR="00AD09CF" w:rsidRPr="003922ED" w:rsidRDefault="00A37007" w:rsidP="00C114E5">
            <w:pPr>
              <w:ind w:left="-99"/>
              <w:rPr>
                <w:rFonts w:ascii="Times New Roman" w:eastAsia="Times New Roman" w:hAnsi="Times New Roman" w:cs="Times New Roman"/>
                <w:sz w:val="24"/>
                <w:szCs w:val="24"/>
                <w:lang w:val="uk-UA"/>
              </w:rPr>
            </w:pPr>
            <w:r w:rsidRPr="003922ED">
              <w:rPr>
                <w:rFonts w:ascii="Times New Roman" w:eastAsia="Times New Roman" w:hAnsi="Times New Roman" w:cs="Times New Roman"/>
                <w:sz w:val="24"/>
                <w:szCs w:val="24"/>
                <w:lang w:val="uk-UA"/>
              </w:rPr>
              <w:t>виконується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B180FC" w14:textId="5E14B8AD" w:rsidR="00CF60F2" w:rsidRPr="003922ED" w:rsidRDefault="00C44213" w:rsidP="00CF60F2">
            <w:pPr>
              <w:jc w:val="left"/>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в</w:t>
            </w:r>
            <w:r w:rsidR="00CF60F2" w:rsidRPr="003922ED">
              <w:rPr>
                <w:rFonts w:ascii="Times New Roman" w:eastAsia="Times New Roman" w:hAnsi="Times New Roman" w:cs="Times New Roman"/>
                <w:iCs/>
                <w:sz w:val="24"/>
                <w:szCs w:val="24"/>
                <w:lang w:val="uk-UA"/>
              </w:rPr>
              <w:t xml:space="preserve"> області функціонують, фактично дистанційно надають освітні послуги здобувачам освіти (внутрішньо переміщеним особам,  дітям з тимчасово окупованих територій та дітям, які продовжують перебувати за кордоном):</w:t>
            </w:r>
          </w:p>
          <w:p w14:paraId="27AE014A" w14:textId="77777777" w:rsidR="00CF60F2" w:rsidRPr="003922ED" w:rsidRDefault="00CF60F2" w:rsidP="00CF60F2">
            <w:pPr>
              <w:jc w:val="left"/>
              <w:rPr>
                <w:rFonts w:ascii="Times New Roman" w:eastAsia="Times New Roman" w:hAnsi="Times New Roman" w:cs="Times New Roman"/>
                <w:iCs/>
                <w:sz w:val="24"/>
                <w:szCs w:val="24"/>
                <w:lang w:val="uk-UA"/>
              </w:rPr>
            </w:pPr>
            <w:r w:rsidRPr="003922ED">
              <w:rPr>
                <w:rFonts w:ascii="Times New Roman" w:eastAsia="Times New Roman" w:hAnsi="Times New Roman" w:cs="Times New Roman"/>
                <w:iCs/>
                <w:sz w:val="24"/>
                <w:szCs w:val="24"/>
                <w:lang w:val="uk-UA"/>
              </w:rPr>
              <w:t>21 заклад дошкільної освіти, в них 344 вихованці;</w:t>
            </w:r>
          </w:p>
          <w:p w14:paraId="59744122" w14:textId="77777777" w:rsidR="00CF60F2" w:rsidRPr="003922ED" w:rsidRDefault="00CF60F2" w:rsidP="00CF60F2">
            <w:pPr>
              <w:jc w:val="left"/>
              <w:rPr>
                <w:rFonts w:ascii="Times New Roman" w:eastAsia="Times New Roman" w:hAnsi="Times New Roman" w:cs="Times New Roman"/>
                <w:iCs/>
                <w:sz w:val="24"/>
                <w:szCs w:val="24"/>
                <w:lang w:val="uk-UA"/>
              </w:rPr>
            </w:pPr>
            <w:r w:rsidRPr="003922ED">
              <w:rPr>
                <w:rFonts w:ascii="Times New Roman" w:eastAsia="Times New Roman" w:hAnsi="Times New Roman" w:cs="Times New Roman"/>
                <w:iCs/>
                <w:sz w:val="24"/>
                <w:szCs w:val="24"/>
                <w:lang w:val="uk-UA"/>
              </w:rPr>
              <w:t>85 закладів загальної середньої освіти, в них 23366 учнів;</w:t>
            </w:r>
          </w:p>
          <w:p w14:paraId="5BF3999B" w14:textId="77777777" w:rsidR="00CF60F2" w:rsidRPr="003922ED" w:rsidRDefault="00CF60F2" w:rsidP="00CF60F2">
            <w:pPr>
              <w:jc w:val="left"/>
              <w:rPr>
                <w:rFonts w:ascii="Times New Roman" w:eastAsia="Times New Roman" w:hAnsi="Times New Roman" w:cs="Times New Roman"/>
                <w:iCs/>
                <w:sz w:val="24"/>
                <w:szCs w:val="24"/>
                <w:lang w:val="uk-UA"/>
              </w:rPr>
            </w:pPr>
            <w:r w:rsidRPr="003922ED">
              <w:rPr>
                <w:rFonts w:ascii="Times New Roman" w:eastAsia="Times New Roman" w:hAnsi="Times New Roman" w:cs="Times New Roman"/>
                <w:iCs/>
                <w:sz w:val="24"/>
                <w:szCs w:val="24"/>
                <w:lang w:val="uk-UA"/>
              </w:rPr>
              <w:t>10 закладів професійної (професійно-технічної освіти), в них 1496 здобувачів освіти.</w:t>
            </w:r>
          </w:p>
          <w:p w14:paraId="5DC6CBBB" w14:textId="2B58AA7F" w:rsidR="00BF5377" w:rsidRPr="003922ED" w:rsidRDefault="00CF60F2" w:rsidP="00CF60F2">
            <w:pPr>
              <w:jc w:val="left"/>
              <w:rPr>
                <w:rFonts w:ascii="Times New Roman" w:eastAsia="Times New Roman" w:hAnsi="Times New Roman" w:cs="Times New Roman"/>
                <w:iCs/>
                <w:sz w:val="24"/>
                <w:szCs w:val="24"/>
                <w:lang w:val="uk-UA"/>
              </w:rPr>
            </w:pPr>
            <w:r w:rsidRPr="003922ED">
              <w:rPr>
                <w:rFonts w:ascii="Times New Roman" w:eastAsia="Times New Roman" w:hAnsi="Times New Roman" w:cs="Times New Roman"/>
                <w:iCs/>
                <w:sz w:val="24"/>
                <w:szCs w:val="24"/>
                <w:lang w:val="uk-UA"/>
              </w:rPr>
              <w:t>3 заклади вищої та 17 закладів фахової передвищої освіти (інформацію про кількість здобувачів освіти цих закладів у 2023/24 навчальному році буде надано після закінчення вступної кампанії).</w:t>
            </w:r>
          </w:p>
        </w:tc>
      </w:tr>
      <w:tr w:rsidR="00A37007" w:rsidRPr="00760B25" w14:paraId="0904F295" w14:textId="77777777" w:rsidTr="00C114E5">
        <w:tblPrEx>
          <w:tblBorders>
            <w:top w:val="nil"/>
            <w:left w:val="nil"/>
            <w:bottom w:val="nil"/>
            <w:right w:val="nil"/>
            <w:insideH w:val="nil"/>
            <w:insideV w:val="nil"/>
          </w:tblBorders>
        </w:tblPrEx>
        <w:trPr>
          <w:gridBefore w:val="1"/>
          <w:wBefore w:w="9" w:type="dxa"/>
          <w:trHeight w:val="203"/>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C497EB" w14:textId="1D1F7B4F" w:rsidR="00A37007" w:rsidRPr="00760B25" w:rsidRDefault="00A37007" w:rsidP="00A37007">
            <w:pPr>
              <w:rPr>
                <w:rFonts w:ascii="Times New Roman" w:eastAsia="Times New Roman" w:hAnsi="Times New Roman" w:cs="Times New Roman"/>
                <w:iCs/>
                <w:sz w:val="24"/>
                <w:szCs w:val="24"/>
                <w:lang w:val="uk-UA"/>
              </w:rPr>
            </w:pPr>
            <w:r w:rsidRPr="00760B25">
              <w:rPr>
                <w:rFonts w:ascii="Times New Roman" w:eastAsia="Times New Roman" w:hAnsi="Times New Roman" w:cs="Times New Roman"/>
                <w:iCs/>
                <w:sz w:val="24"/>
                <w:szCs w:val="24"/>
                <w:lang w:val="uk-UA"/>
              </w:rPr>
              <w:t>Стратегічна ціль: потенціал кожної особи розкривається завдяки інклюзивній освіті</w:t>
            </w:r>
          </w:p>
        </w:tc>
      </w:tr>
      <w:tr w:rsidR="00A37007" w:rsidRPr="00760B25" w14:paraId="5B33C449" w14:textId="77777777" w:rsidTr="00C114E5">
        <w:tblPrEx>
          <w:tblBorders>
            <w:top w:val="nil"/>
            <w:left w:val="nil"/>
            <w:bottom w:val="nil"/>
            <w:right w:val="nil"/>
            <w:insideH w:val="nil"/>
            <w:insideV w:val="nil"/>
          </w:tblBorders>
        </w:tblPrEx>
        <w:trPr>
          <w:gridBefore w:val="1"/>
          <w:wBefore w:w="9" w:type="dxa"/>
          <w:trHeight w:val="211"/>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7D4E5A" w14:textId="58D922F8" w:rsidR="00A37007" w:rsidRPr="00760B25" w:rsidRDefault="00A37007" w:rsidP="00A37007">
            <w:pPr>
              <w:rPr>
                <w:rFonts w:ascii="Times New Roman" w:eastAsia="Times New Roman" w:hAnsi="Times New Roman" w:cs="Times New Roman"/>
                <w:iCs/>
                <w:sz w:val="24"/>
                <w:szCs w:val="24"/>
                <w:lang w:val="uk-UA"/>
              </w:rPr>
            </w:pPr>
            <w:r w:rsidRPr="00760B25">
              <w:rPr>
                <w:rFonts w:ascii="Times New Roman" w:eastAsia="Times New Roman" w:hAnsi="Times New Roman" w:cs="Times New Roman"/>
                <w:iCs/>
                <w:sz w:val="24"/>
                <w:szCs w:val="24"/>
                <w:lang w:val="uk-UA"/>
              </w:rPr>
              <w:t>Завдання 2. Забезпечено розвиток мережі та підтримка інклюзивно-ресурсних центрі</w:t>
            </w:r>
          </w:p>
        </w:tc>
      </w:tr>
      <w:tr w:rsidR="00AD09CF" w:rsidRPr="00AD09CF" w14:paraId="7C966B01" w14:textId="77777777" w:rsidTr="00C114E5">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276F3D" w14:textId="77777777" w:rsidR="00A37007" w:rsidRPr="00A37007"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1) провести аналіз</w:t>
            </w:r>
          </w:p>
          <w:p w14:paraId="78E37ACF" w14:textId="77777777" w:rsidR="00A37007" w:rsidRPr="00A37007"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кількості діючих</w:t>
            </w:r>
          </w:p>
          <w:p w14:paraId="49EB421F" w14:textId="53AA6FA6" w:rsidR="00A37007" w:rsidRPr="00A37007"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інклюзивно- ресурсних центрів</w:t>
            </w:r>
            <w:r w:rsidR="0094780D">
              <w:rPr>
                <w:rFonts w:ascii="Times New Roman" w:eastAsia="Times New Roman" w:hAnsi="Times New Roman" w:cs="Times New Roman"/>
                <w:sz w:val="24"/>
                <w:szCs w:val="24"/>
                <w:lang w:val="uk-UA"/>
              </w:rPr>
              <w:t xml:space="preserve"> (далі - ІРЦ)</w:t>
            </w:r>
          </w:p>
          <w:p w14:paraId="615480E4" w14:textId="77777777" w:rsidR="00A37007" w:rsidRPr="00A37007"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на території області</w:t>
            </w:r>
          </w:p>
          <w:p w14:paraId="01E19EAC" w14:textId="77777777" w:rsidR="00A37007" w:rsidRPr="00A37007"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в умовах окупації</w:t>
            </w:r>
          </w:p>
          <w:p w14:paraId="6BFE0C71" w14:textId="4790D8EB" w:rsidR="00AD09CF" w:rsidRPr="00AD09CF"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області</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C8AA35" w14:textId="77777777" w:rsidR="00A37007" w:rsidRPr="00A37007"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Департамент</w:t>
            </w:r>
          </w:p>
          <w:p w14:paraId="6936976E" w14:textId="77777777" w:rsidR="00A37007" w:rsidRPr="00A37007"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освіти і науки</w:t>
            </w:r>
          </w:p>
          <w:p w14:paraId="6E5C519E" w14:textId="77777777" w:rsidR="00A37007" w:rsidRPr="00A37007"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обласної</w:t>
            </w:r>
          </w:p>
          <w:p w14:paraId="0C3048C9" w14:textId="1DA14927" w:rsidR="00AD09CF" w:rsidRPr="00AD09CF" w:rsidRDefault="00A37007" w:rsidP="00760B25">
            <w:pPr>
              <w:jc w:val="left"/>
              <w:rPr>
                <w:rFonts w:ascii="Times New Roman" w:eastAsia="Times New Roman" w:hAnsi="Times New Roman" w:cs="Times New Roman"/>
                <w:sz w:val="24"/>
                <w:szCs w:val="24"/>
                <w:lang w:val="uk-UA"/>
              </w:rPr>
            </w:pPr>
            <w:r w:rsidRPr="00A37007">
              <w:rPr>
                <w:rFonts w:ascii="Times New Roman" w:eastAsia="Times New Roman" w:hAnsi="Times New Roman" w:cs="Times New Roman"/>
                <w:sz w:val="24"/>
                <w:szCs w:val="24"/>
                <w:lang w:val="uk-UA"/>
              </w:rPr>
              <w:t>держ</w:t>
            </w:r>
            <w:r w:rsidR="00760B25">
              <w:rPr>
                <w:rFonts w:ascii="Times New Roman" w:eastAsia="Times New Roman" w:hAnsi="Times New Roman" w:cs="Times New Roman"/>
                <w:sz w:val="24"/>
                <w:szCs w:val="24"/>
                <w:lang w:val="uk-UA"/>
              </w:rPr>
              <w:t xml:space="preserve">авної </w:t>
            </w:r>
            <w:r w:rsidRPr="00A37007">
              <w:rPr>
                <w:rFonts w:ascii="Times New Roman" w:eastAsia="Times New Roman" w:hAnsi="Times New Roman" w:cs="Times New Roman"/>
                <w:sz w:val="24"/>
                <w:szCs w:val="24"/>
                <w:lang w:val="uk-UA"/>
              </w:rPr>
              <w:t>адміністрації, 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64F2B4" w14:textId="29B2C2B4" w:rsidR="00AD09CF" w:rsidRPr="00AD09CF" w:rsidRDefault="00DA41CC" w:rsidP="00AD09CF">
            <w:pPr>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t>30.12.2024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BFB942" w14:textId="1A0F057B" w:rsidR="00AD09CF" w:rsidRPr="00AD09CF" w:rsidRDefault="00760B25" w:rsidP="00AD09CF">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w:t>
            </w:r>
            <w:r w:rsidR="00F9318C">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lang w:val="uk-UA"/>
              </w:rPr>
              <w:t>.2023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32F8F6" w14:textId="3F1B2C5D" w:rsidR="00AD09CF" w:rsidRPr="00AD09CF" w:rsidRDefault="00DA41CC" w:rsidP="00097E9D">
            <w:pPr>
              <w:ind w:left="-99" w:right="-106"/>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t>виконується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A9692C" w14:textId="49C81FC0" w:rsidR="00F9318C" w:rsidRPr="000058D3" w:rsidRDefault="0085317F" w:rsidP="00F9318C">
            <w:pPr>
              <w:jc w:val="left"/>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ф</w:t>
            </w:r>
            <w:r w:rsidR="00F9318C" w:rsidRPr="000058D3">
              <w:rPr>
                <w:rFonts w:ascii="Times New Roman" w:eastAsia="Times New Roman" w:hAnsi="Times New Roman" w:cs="Times New Roman"/>
                <w:iCs/>
                <w:sz w:val="24"/>
                <w:szCs w:val="24"/>
                <w:lang w:val="uk-UA"/>
              </w:rPr>
              <w:t xml:space="preserve">ункціонує мережа з 7 інклюзивно-ресурсних </w:t>
            </w:r>
          </w:p>
          <w:p w14:paraId="0B34BEC4" w14:textId="3EBA9562" w:rsidR="00F9318C" w:rsidRPr="000058D3" w:rsidRDefault="00F9318C" w:rsidP="00F9318C">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центрів. З них 6 ІРЦ дистанційно надають</w:t>
            </w:r>
          </w:p>
          <w:p w14:paraId="01870966" w14:textId="77777777" w:rsidR="00F9318C" w:rsidRPr="000058D3" w:rsidRDefault="00F9318C" w:rsidP="00F9318C">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психолого-педагогічні та корекційно-розвивальні</w:t>
            </w:r>
          </w:p>
          <w:p w14:paraId="47B2C923" w14:textId="77777777" w:rsidR="00AD09CF" w:rsidRPr="000058D3" w:rsidRDefault="00F9318C" w:rsidP="00F9318C">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послуги, проводять комплексну оцінку.</w:t>
            </w:r>
          </w:p>
          <w:p w14:paraId="784E73D2" w14:textId="77777777" w:rsidR="00F9318C" w:rsidRPr="000058D3" w:rsidRDefault="00F9318C" w:rsidP="00F9318C">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 xml:space="preserve">Відновлено роботу офлайн Комунальної установи </w:t>
            </w:r>
          </w:p>
          <w:p w14:paraId="74BE4662" w14:textId="77777777" w:rsidR="00F9318C" w:rsidRPr="000058D3" w:rsidRDefault="00F9318C" w:rsidP="00F9318C">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 xml:space="preserve">«Інклюзивно-ресурсний центр» Рубіжанської </w:t>
            </w:r>
          </w:p>
          <w:p w14:paraId="4E85C2FE" w14:textId="14EFC40A" w:rsidR="00F9318C" w:rsidRPr="00AD09CF" w:rsidRDefault="00F9318C" w:rsidP="00F9318C">
            <w:pPr>
              <w:jc w:val="left"/>
              <w:rPr>
                <w:rFonts w:ascii="Times New Roman" w:eastAsia="Times New Roman" w:hAnsi="Times New Roman" w:cs="Times New Roman"/>
                <w:i/>
                <w:sz w:val="24"/>
                <w:szCs w:val="24"/>
                <w:lang w:val="uk-UA"/>
              </w:rPr>
            </w:pPr>
            <w:r w:rsidRPr="000058D3">
              <w:rPr>
                <w:rFonts w:ascii="Times New Roman" w:eastAsia="Times New Roman" w:hAnsi="Times New Roman" w:cs="Times New Roman"/>
                <w:iCs/>
                <w:sz w:val="24"/>
                <w:szCs w:val="24"/>
                <w:lang w:val="uk-UA"/>
              </w:rPr>
              <w:t>міської ради Луганської області.</w:t>
            </w:r>
          </w:p>
        </w:tc>
      </w:tr>
      <w:tr w:rsidR="00AD09CF" w:rsidRPr="00AD09CF" w14:paraId="391A0186" w14:textId="77777777" w:rsidTr="00C114E5">
        <w:tblPrEx>
          <w:tblBorders>
            <w:top w:val="nil"/>
            <w:left w:val="nil"/>
            <w:bottom w:val="nil"/>
            <w:right w:val="nil"/>
            <w:insideH w:val="nil"/>
            <w:insideV w:val="nil"/>
          </w:tblBorders>
        </w:tblPrEx>
        <w:trPr>
          <w:gridBefore w:val="1"/>
          <w:wBefore w:w="9" w:type="dxa"/>
          <w:trHeight w:val="241"/>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8BF4BA" w14:textId="77777777" w:rsidR="00DA41CC" w:rsidRPr="00DA41CC" w:rsidRDefault="00DA41CC" w:rsidP="00760B25">
            <w:pPr>
              <w:jc w:val="left"/>
              <w:rPr>
                <w:rFonts w:ascii="Times New Roman" w:eastAsia="Times New Roman" w:hAnsi="Times New Roman" w:cs="Times New Roman"/>
                <w:sz w:val="24"/>
                <w:szCs w:val="24"/>
                <w:lang w:val="uk-UA"/>
              </w:rPr>
            </w:pPr>
            <w:bookmarkStart w:id="4" w:name="_Hlk139370422"/>
            <w:r w:rsidRPr="00DA41CC">
              <w:rPr>
                <w:rFonts w:ascii="Times New Roman" w:eastAsia="Times New Roman" w:hAnsi="Times New Roman" w:cs="Times New Roman"/>
                <w:sz w:val="24"/>
                <w:szCs w:val="24"/>
                <w:lang w:val="uk-UA"/>
              </w:rPr>
              <w:t>2) здійснити заходи</w:t>
            </w:r>
          </w:p>
          <w:p w14:paraId="7D388A96" w14:textId="77777777" w:rsidR="00DA41CC" w:rsidRPr="00DA41CC" w:rsidRDefault="00DA41CC" w:rsidP="00760B25">
            <w:pPr>
              <w:jc w:val="left"/>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t>з відновлення</w:t>
            </w:r>
          </w:p>
          <w:p w14:paraId="7D29A8FB" w14:textId="77777777" w:rsidR="00DA41CC" w:rsidRPr="00DA41CC" w:rsidRDefault="00DA41CC" w:rsidP="00760B25">
            <w:pPr>
              <w:jc w:val="left"/>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t>наявної мережі</w:t>
            </w:r>
          </w:p>
          <w:p w14:paraId="42449534" w14:textId="77777777" w:rsidR="00DA41CC" w:rsidRPr="00DA41CC" w:rsidRDefault="00DA41CC" w:rsidP="00760B25">
            <w:pPr>
              <w:jc w:val="left"/>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lastRenderedPageBreak/>
              <w:t>інклюзивно- ресурсних центрів</w:t>
            </w:r>
          </w:p>
          <w:p w14:paraId="5C1CB4A5" w14:textId="77777777" w:rsidR="00DA41CC" w:rsidRPr="00DA41CC" w:rsidRDefault="00DA41CC" w:rsidP="00760B25">
            <w:pPr>
              <w:jc w:val="left"/>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t>після деокупації</w:t>
            </w:r>
          </w:p>
          <w:p w14:paraId="3193F24F" w14:textId="544B0617" w:rsidR="00AD09CF" w:rsidRPr="00AD09CF" w:rsidRDefault="00DA41CC" w:rsidP="00760B25">
            <w:pPr>
              <w:jc w:val="left"/>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t>області</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06E77C" w14:textId="77777777" w:rsidR="00DA41CC" w:rsidRPr="00DA41CC" w:rsidRDefault="00DA41CC" w:rsidP="00760B25">
            <w:pPr>
              <w:jc w:val="left"/>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lastRenderedPageBreak/>
              <w:t>Департамент</w:t>
            </w:r>
          </w:p>
          <w:p w14:paraId="4EEB570A" w14:textId="77777777" w:rsidR="00DA41CC" w:rsidRPr="00DA41CC" w:rsidRDefault="00DA41CC" w:rsidP="00760B25">
            <w:pPr>
              <w:jc w:val="left"/>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t>освіти і науки</w:t>
            </w:r>
          </w:p>
          <w:p w14:paraId="3576F00D" w14:textId="77777777" w:rsidR="00DA41CC" w:rsidRPr="00DA41CC" w:rsidRDefault="00DA41CC" w:rsidP="00760B25">
            <w:pPr>
              <w:jc w:val="left"/>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t>обласної</w:t>
            </w:r>
          </w:p>
          <w:p w14:paraId="13C39EBD" w14:textId="7077C8AC" w:rsidR="00AD09CF" w:rsidRPr="00AD09CF" w:rsidRDefault="00DA41CC" w:rsidP="00760B25">
            <w:pPr>
              <w:jc w:val="left"/>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lastRenderedPageBreak/>
              <w:t>держ</w:t>
            </w:r>
            <w:r w:rsidR="00760B25">
              <w:rPr>
                <w:rFonts w:ascii="Times New Roman" w:eastAsia="Times New Roman" w:hAnsi="Times New Roman" w:cs="Times New Roman"/>
                <w:sz w:val="24"/>
                <w:szCs w:val="24"/>
                <w:lang w:val="uk-UA"/>
              </w:rPr>
              <w:t xml:space="preserve">авної </w:t>
            </w:r>
            <w:r w:rsidRPr="00DA41CC">
              <w:rPr>
                <w:rFonts w:ascii="Times New Roman" w:eastAsia="Times New Roman" w:hAnsi="Times New Roman" w:cs="Times New Roman"/>
                <w:sz w:val="24"/>
                <w:szCs w:val="24"/>
                <w:lang w:val="uk-UA"/>
              </w:rPr>
              <w:t>адміністрації, В</w:t>
            </w:r>
            <w:r>
              <w:rPr>
                <w:rFonts w:ascii="Times New Roman" w:eastAsia="Times New Roman" w:hAnsi="Times New Roman" w:cs="Times New Roman"/>
                <w:sz w:val="24"/>
                <w:szCs w:val="24"/>
                <w:lang w:val="uk-UA"/>
              </w:rPr>
              <w:t>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AD6A90" w14:textId="4CB6062E" w:rsidR="00AD09CF" w:rsidRPr="00AD09CF" w:rsidRDefault="00DA41CC" w:rsidP="00AD09CF">
            <w:pPr>
              <w:rPr>
                <w:rFonts w:ascii="Times New Roman" w:eastAsia="Times New Roman" w:hAnsi="Times New Roman" w:cs="Times New Roman"/>
                <w:sz w:val="24"/>
                <w:szCs w:val="24"/>
                <w:lang w:val="uk-UA"/>
              </w:rPr>
            </w:pPr>
            <w:r w:rsidRPr="00DA41CC">
              <w:rPr>
                <w:rFonts w:ascii="Times New Roman" w:eastAsia="Times New Roman" w:hAnsi="Times New Roman" w:cs="Times New Roman"/>
                <w:sz w:val="24"/>
                <w:szCs w:val="24"/>
                <w:lang w:val="uk-UA"/>
              </w:rPr>
              <w:lastRenderedPageBreak/>
              <w:t>30.12.2024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DDEF1A" w14:textId="79A25CE2" w:rsidR="00AD09CF" w:rsidRPr="00AD09CF" w:rsidRDefault="00760B25" w:rsidP="00AD09CF">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2A9BA7" w14:textId="4B9EACC9" w:rsidR="00AD09CF" w:rsidRPr="003922ED" w:rsidRDefault="00DA41CC" w:rsidP="00AD09CF">
            <w:pPr>
              <w:rPr>
                <w:rFonts w:ascii="Times New Roman" w:eastAsia="Times New Roman" w:hAnsi="Times New Roman" w:cs="Times New Roman"/>
                <w:sz w:val="24"/>
                <w:szCs w:val="24"/>
                <w:lang w:val="uk-UA"/>
              </w:rPr>
            </w:pPr>
            <w:r w:rsidRPr="003922ED">
              <w:rPr>
                <w:rFonts w:ascii="Times New Roman" w:eastAsia="Times New Roman" w:hAnsi="Times New Roman" w:cs="Times New Roman"/>
                <w:sz w:val="24"/>
                <w:szCs w:val="24"/>
                <w:lang w:val="uk-UA"/>
              </w:rPr>
              <w:t>не розпочато</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A21C06" w14:textId="4FFEB63F" w:rsidR="00AD09CF" w:rsidRPr="003922ED" w:rsidRDefault="00760B25" w:rsidP="00760B25">
            <w:pPr>
              <w:jc w:val="left"/>
              <w:rPr>
                <w:rFonts w:ascii="Times New Roman" w:eastAsia="Times New Roman" w:hAnsi="Times New Roman" w:cs="Times New Roman"/>
                <w:iCs/>
                <w:sz w:val="24"/>
                <w:szCs w:val="24"/>
                <w:lang w:val="uk-UA"/>
              </w:rPr>
            </w:pPr>
            <w:r w:rsidRPr="003922ED">
              <w:rPr>
                <w:rFonts w:ascii="Times New Roman" w:eastAsia="Times New Roman" w:hAnsi="Times New Roman" w:cs="Times New Roman"/>
                <w:iCs/>
                <w:sz w:val="24"/>
                <w:szCs w:val="24"/>
                <w:lang w:val="uk-UA"/>
              </w:rPr>
              <w:t>виконання заходу передбачено після деокупації області</w:t>
            </w:r>
          </w:p>
        </w:tc>
      </w:tr>
      <w:tr w:rsidR="00DA41CC" w:rsidRPr="00760B25" w14:paraId="04D1E820" w14:textId="77777777" w:rsidTr="00E90D14">
        <w:tblPrEx>
          <w:tblBorders>
            <w:top w:val="nil"/>
            <w:left w:val="nil"/>
            <w:bottom w:val="nil"/>
            <w:right w:val="nil"/>
            <w:insideH w:val="nil"/>
            <w:insideV w:val="nil"/>
          </w:tblBorders>
        </w:tblPrEx>
        <w:trPr>
          <w:gridBefore w:val="1"/>
          <w:wBefore w:w="9" w:type="dxa"/>
          <w:trHeight w:val="241"/>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9FA6E2" w14:textId="3EEC3F1E" w:rsidR="00DA41CC" w:rsidRPr="00760B25" w:rsidRDefault="00DA41CC" w:rsidP="00AD09CF">
            <w:pPr>
              <w:rPr>
                <w:rFonts w:ascii="Times New Roman" w:eastAsia="Times New Roman" w:hAnsi="Times New Roman" w:cs="Times New Roman"/>
                <w:iCs/>
                <w:sz w:val="24"/>
                <w:szCs w:val="24"/>
                <w:lang w:val="uk-UA"/>
              </w:rPr>
            </w:pPr>
            <w:r w:rsidRPr="00760B25">
              <w:rPr>
                <w:rFonts w:ascii="Times New Roman" w:eastAsia="Times New Roman" w:hAnsi="Times New Roman" w:cs="Times New Roman"/>
                <w:iCs/>
                <w:sz w:val="24"/>
                <w:szCs w:val="24"/>
                <w:lang w:val="uk-UA"/>
              </w:rPr>
              <w:t>Завдання 3. Забезпечено наявність фахівців на посадах асистента вихователя, асистента вчителя, асистента учня</w:t>
            </w:r>
          </w:p>
        </w:tc>
      </w:tr>
      <w:tr w:rsidR="00F66D00" w:rsidRPr="00AD09CF" w14:paraId="6E2131C7" w14:textId="77777777" w:rsidTr="003922ED">
        <w:tblPrEx>
          <w:tblBorders>
            <w:top w:val="nil"/>
            <w:left w:val="nil"/>
            <w:bottom w:val="nil"/>
            <w:right w:val="nil"/>
            <w:insideH w:val="nil"/>
            <w:insideV w:val="nil"/>
          </w:tblBorders>
        </w:tblPrEx>
        <w:trPr>
          <w:gridBefore w:val="1"/>
          <w:wBefore w:w="9" w:type="dxa"/>
          <w:trHeight w:val="241"/>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47BCDC"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1) провести аналіз</w:t>
            </w:r>
          </w:p>
          <w:p w14:paraId="50252D58"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щодо необхідної</w:t>
            </w:r>
          </w:p>
          <w:p w14:paraId="3D4978B0"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кількості фахівців</w:t>
            </w:r>
          </w:p>
          <w:p w14:paraId="46A7CB1C"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для роботи на</w:t>
            </w:r>
          </w:p>
          <w:p w14:paraId="2E27BC7A"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посадах асистента</w:t>
            </w:r>
          </w:p>
          <w:p w14:paraId="03C2B3B3" w14:textId="45765CDA" w:rsidR="00F66D00" w:rsidRPr="00AD09CF"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вихователя, асистента вчителя, асистента учня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602DEE"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Департамент</w:t>
            </w:r>
          </w:p>
          <w:p w14:paraId="33CEEE62"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освіти і науки</w:t>
            </w:r>
          </w:p>
          <w:p w14:paraId="249C073C"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обласної</w:t>
            </w:r>
          </w:p>
          <w:p w14:paraId="10CE5647" w14:textId="5A1226C6"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держ</w:t>
            </w:r>
            <w:r w:rsidR="00760B25">
              <w:rPr>
                <w:rFonts w:ascii="Times New Roman" w:eastAsia="Times New Roman" w:hAnsi="Times New Roman" w:cs="Times New Roman"/>
                <w:sz w:val="24"/>
                <w:szCs w:val="24"/>
                <w:lang w:val="uk-UA"/>
              </w:rPr>
              <w:t xml:space="preserve">авної </w:t>
            </w:r>
            <w:r w:rsidRPr="00EC726A">
              <w:rPr>
                <w:rFonts w:ascii="Times New Roman" w:eastAsia="Times New Roman" w:hAnsi="Times New Roman" w:cs="Times New Roman"/>
                <w:sz w:val="24"/>
                <w:szCs w:val="24"/>
                <w:lang w:val="uk-UA"/>
              </w:rPr>
              <w:t>адміністрації, Луганський</w:t>
            </w:r>
          </w:p>
          <w:p w14:paraId="56D08E39"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обласний інститут</w:t>
            </w:r>
          </w:p>
          <w:p w14:paraId="19ED15E6"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післядипломної</w:t>
            </w:r>
          </w:p>
          <w:p w14:paraId="376DCF54"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педагогічної</w:t>
            </w:r>
          </w:p>
          <w:p w14:paraId="5F74839C" w14:textId="0AB79AE4" w:rsidR="00F66D00" w:rsidRPr="00AD09CF"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освіти (за згодою)</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E9F09C" w14:textId="68A7E49B" w:rsidR="00F66D00" w:rsidRPr="00AD09CF" w:rsidRDefault="00EC726A" w:rsidP="00AD09CF">
            <w:pPr>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30.12.2024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C04A98" w14:textId="34C60E9F" w:rsidR="00F66D00" w:rsidRPr="00AD09CF" w:rsidRDefault="003922ED" w:rsidP="00AD09CF">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30.09.2023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FA6C5B" w14:textId="7E517F78" w:rsidR="00F66D00" w:rsidRPr="000058D3" w:rsidRDefault="00CF60F2" w:rsidP="00AD09CF">
            <w:pPr>
              <w:rPr>
                <w:rFonts w:ascii="Times New Roman" w:eastAsia="Times New Roman" w:hAnsi="Times New Roman" w:cs="Times New Roman"/>
                <w:sz w:val="24"/>
                <w:szCs w:val="24"/>
                <w:highlight w:val="cyan"/>
                <w:lang w:val="uk-UA"/>
              </w:rPr>
            </w:pPr>
            <w:r w:rsidRPr="0090022E">
              <w:rPr>
                <w:rFonts w:ascii="Times New Roman" w:eastAsia="Times New Roman" w:hAnsi="Times New Roman" w:cs="Times New Roman"/>
                <w:sz w:val="24"/>
                <w:szCs w:val="24"/>
                <w:lang w:val="uk-UA"/>
              </w:rPr>
              <w:t>виконано</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1BAF4F" w14:textId="12E630C9" w:rsidR="00F66D00" w:rsidRPr="000058D3" w:rsidRDefault="0085317F" w:rsidP="0090022E">
            <w:pPr>
              <w:jc w:val="left"/>
              <w:rPr>
                <w:rFonts w:ascii="Times New Roman" w:eastAsia="Times New Roman" w:hAnsi="Times New Roman" w:cs="Times New Roman"/>
                <w:iCs/>
                <w:sz w:val="24"/>
                <w:szCs w:val="24"/>
                <w:highlight w:val="cyan"/>
                <w:lang w:val="uk-UA"/>
              </w:rPr>
            </w:pPr>
            <w:r>
              <w:rPr>
                <w:rFonts w:ascii="Times New Roman" w:eastAsia="Times New Roman" w:hAnsi="Times New Roman" w:cs="Times New Roman"/>
                <w:iCs/>
                <w:sz w:val="24"/>
                <w:szCs w:val="24"/>
                <w:lang w:val="uk-UA"/>
              </w:rPr>
              <w:t>з</w:t>
            </w:r>
            <w:r w:rsidR="00CF60F2" w:rsidRPr="0090022E">
              <w:rPr>
                <w:rFonts w:ascii="Times New Roman" w:eastAsia="Times New Roman" w:hAnsi="Times New Roman" w:cs="Times New Roman"/>
                <w:iCs/>
                <w:sz w:val="24"/>
                <w:szCs w:val="24"/>
                <w:lang w:val="uk-UA"/>
              </w:rPr>
              <w:t xml:space="preserve">аклади </w:t>
            </w:r>
            <w:r w:rsidR="0090022E" w:rsidRPr="0090022E">
              <w:rPr>
                <w:rFonts w:ascii="Times New Roman" w:eastAsia="Times New Roman" w:hAnsi="Times New Roman" w:cs="Times New Roman"/>
                <w:iCs/>
                <w:sz w:val="24"/>
                <w:szCs w:val="24"/>
                <w:lang w:val="uk-UA"/>
              </w:rPr>
              <w:t>загальної середньої освіти</w:t>
            </w:r>
            <w:r w:rsidR="00CF60F2" w:rsidRPr="0090022E">
              <w:rPr>
                <w:rFonts w:ascii="Times New Roman" w:eastAsia="Times New Roman" w:hAnsi="Times New Roman" w:cs="Times New Roman"/>
                <w:iCs/>
                <w:sz w:val="24"/>
                <w:szCs w:val="24"/>
                <w:lang w:val="uk-UA"/>
              </w:rPr>
              <w:t xml:space="preserve"> області забезпечені </w:t>
            </w:r>
            <w:r w:rsidR="00EC726A" w:rsidRPr="0090022E">
              <w:rPr>
                <w:rFonts w:ascii="Times New Roman" w:eastAsia="Times New Roman" w:hAnsi="Times New Roman" w:cs="Times New Roman"/>
                <w:iCs/>
                <w:sz w:val="24"/>
                <w:szCs w:val="24"/>
                <w:lang w:val="uk-UA"/>
              </w:rPr>
              <w:t>необхідно</w:t>
            </w:r>
            <w:r w:rsidR="00CF60F2" w:rsidRPr="0090022E">
              <w:rPr>
                <w:rFonts w:ascii="Times New Roman" w:eastAsia="Times New Roman" w:hAnsi="Times New Roman" w:cs="Times New Roman"/>
                <w:iCs/>
                <w:sz w:val="24"/>
                <w:szCs w:val="24"/>
                <w:lang w:val="uk-UA"/>
              </w:rPr>
              <w:t xml:space="preserve">ю кількістю </w:t>
            </w:r>
            <w:r w:rsidR="00EC726A" w:rsidRPr="0090022E">
              <w:rPr>
                <w:rFonts w:ascii="Times New Roman" w:eastAsia="Times New Roman" w:hAnsi="Times New Roman" w:cs="Times New Roman"/>
                <w:iCs/>
                <w:sz w:val="24"/>
                <w:szCs w:val="24"/>
                <w:lang w:val="uk-UA"/>
              </w:rPr>
              <w:t xml:space="preserve">фахівців для роботи </w:t>
            </w:r>
            <w:r w:rsidR="00CF60F2" w:rsidRPr="0090022E">
              <w:rPr>
                <w:rFonts w:ascii="Times New Roman" w:eastAsia="Times New Roman" w:hAnsi="Times New Roman" w:cs="Times New Roman"/>
                <w:iCs/>
                <w:sz w:val="24"/>
                <w:szCs w:val="24"/>
                <w:lang w:val="uk-UA"/>
              </w:rPr>
              <w:t xml:space="preserve">в інклюзивних класах </w:t>
            </w:r>
            <w:r w:rsidR="00EC726A" w:rsidRPr="0090022E">
              <w:rPr>
                <w:rFonts w:ascii="Times New Roman" w:eastAsia="Times New Roman" w:hAnsi="Times New Roman" w:cs="Times New Roman"/>
                <w:iCs/>
                <w:sz w:val="24"/>
                <w:szCs w:val="24"/>
                <w:lang w:val="uk-UA"/>
              </w:rPr>
              <w:t>на посадах</w:t>
            </w:r>
            <w:r w:rsidR="00760B25" w:rsidRPr="0090022E">
              <w:rPr>
                <w:rFonts w:ascii="Times New Roman" w:eastAsia="Times New Roman" w:hAnsi="Times New Roman" w:cs="Times New Roman"/>
                <w:iCs/>
                <w:sz w:val="24"/>
                <w:szCs w:val="24"/>
                <w:lang w:val="uk-UA"/>
              </w:rPr>
              <w:t xml:space="preserve"> </w:t>
            </w:r>
            <w:r w:rsidR="00EC726A" w:rsidRPr="0090022E">
              <w:rPr>
                <w:rFonts w:ascii="Times New Roman" w:eastAsia="Times New Roman" w:hAnsi="Times New Roman" w:cs="Times New Roman"/>
                <w:iCs/>
                <w:sz w:val="24"/>
                <w:szCs w:val="24"/>
                <w:lang w:val="uk-UA"/>
              </w:rPr>
              <w:t>асистента</w:t>
            </w:r>
            <w:r w:rsidR="00CF60F2" w:rsidRPr="0090022E">
              <w:rPr>
                <w:rFonts w:ascii="Times New Roman" w:eastAsia="Times New Roman" w:hAnsi="Times New Roman" w:cs="Times New Roman"/>
                <w:iCs/>
                <w:sz w:val="24"/>
                <w:szCs w:val="24"/>
                <w:lang w:val="uk-UA"/>
              </w:rPr>
              <w:t xml:space="preserve"> </w:t>
            </w:r>
            <w:r w:rsidR="00EC726A" w:rsidRPr="0090022E">
              <w:rPr>
                <w:rFonts w:ascii="Times New Roman" w:eastAsia="Times New Roman" w:hAnsi="Times New Roman" w:cs="Times New Roman"/>
                <w:iCs/>
                <w:sz w:val="24"/>
                <w:szCs w:val="24"/>
                <w:lang w:val="uk-UA"/>
              </w:rPr>
              <w:t>вчителя</w:t>
            </w:r>
            <w:r w:rsidR="00CF60F2" w:rsidRPr="0090022E">
              <w:rPr>
                <w:rFonts w:ascii="Times New Roman" w:eastAsia="Times New Roman" w:hAnsi="Times New Roman" w:cs="Times New Roman"/>
                <w:iCs/>
                <w:sz w:val="24"/>
                <w:szCs w:val="24"/>
                <w:lang w:val="uk-UA"/>
              </w:rPr>
              <w:t xml:space="preserve">. </w:t>
            </w:r>
            <w:r w:rsidR="0090022E" w:rsidRPr="0090022E">
              <w:rPr>
                <w:rFonts w:ascii="Times New Roman" w:eastAsia="Times New Roman" w:hAnsi="Times New Roman" w:cs="Times New Roman"/>
                <w:iCs/>
                <w:sz w:val="24"/>
                <w:szCs w:val="24"/>
                <w:lang w:val="uk-UA"/>
              </w:rPr>
              <w:t>Кадрове забезпечення закладів загальної середньої освіти області становить 99,9 %.</w:t>
            </w:r>
          </w:p>
        </w:tc>
      </w:tr>
      <w:tr w:rsidR="00F66D00" w:rsidRPr="00AD09CF" w14:paraId="13BEC3AD" w14:textId="77777777" w:rsidTr="00C114E5">
        <w:tblPrEx>
          <w:tblBorders>
            <w:top w:val="nil"/>
            <w:left w:val="nil"/>
            <w:bottom w:val="nil"/>
            <w:right w:val="nil"/>
            <w:insideH w:val="nil"/>
            <w:insideV w:val="nil"/>
          </w:tblBorders>
        </w:tblPrEx>
        <w:trPr>
          <w:gridBefore w:val="1"/>
          <w:wBefore w:w="9" w:type="dxa"/>
          <w:trHeight w:val="241"/>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557989"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2) провести заходи</w:t>
            </w:r>
          </w:p>
          <w:p w14:paraId="63245868"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з підвищення</w:t>
            </w:r>
          </w:p>
          <w:p w14:paraId="04606D3E"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кваліфікації, навчання фахівців</w:t>
            </w:r>
          </w:p>
          <w:p w14:paraId="024BA6BD"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для роботи на</w:t>
            </w:r>
          </w:p>
          <w:p w14:paraId="2B485184"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посадах асистента</w:t>
            </w:r>
          </w:p>
          <w:p w14:paraId="506579DB" w14:textId="106BF8EB" w:rsidR="00F66D00" w:rsidRPr="00AD09CF"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вихователя, асистента вчителя, асистента учня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CBC26C"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Департамент</w:t>
            </w:r>
          </w:p>
          <w:p w14:paraId="3AEE56CB"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освіти і науки</w:t>
            </w:r>
          </w:p>
          <w:p w14:paraId="64846E01"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обласної</w:t>
            </w:r>
          </w:p>
          <w:p w14:paraId="477D0869" w14:textId="6B3DB9AE"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держ</w:t>
            </w:r>
            <w:r w:rsidR="00760B25">
              <w:rPr>
                <w:rFonts w:ascii="Times New Roman" w:eastAsia="Times New Roman" w:hAnsi="Times New Roman" w:cs="Times New Roman"/>
                <w:sz w:val="24"/>
                <w:szCs w:val="24"/>
                <w:lang w:val="uk-UA"/>
              </w:rPr>
              <w:t xml:space="preserve">авної </w:t>
            </w:r>
            <w:r w:rsidRPr="00EC726A">
              <w:rPr>
                <w:rFonts w:ascii="Times New Roman" w:eastAsia="Times New Roman" w:hAnsi="Times New Roman" w:cs="Times New Roman"/>
                <w:sz w:val="24"/>
                <w:szCs w:val="24"/>
                <w:lang w:val="uk-UA"/>
              </w:rPr>
              <w:t>адміністрації, Луганський</w:t>
            </w:r>
          </w:p>
          <w:p w14:paraId="22B87B23"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обласний інститут</w:t>
            </w:r>
          </w:p>
          <w:p w14:paraId="1A58C323"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післядипломної</w:t>
            </w:r>
          </w:p>
          <w:p w14:paraId="5A42CBE3" w14:textId="77777777" w:rsidR="00EC726A" w:rsidRPr="00EC726A"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педагогічної</w:t>
            </w:r>
          </w:p>
          <w:p w14:paraId="6000B048" w14:textId="3A093E13" w:rsidR="00F66D00" w:rsidRPr="00AD09CF" w:rsidRDefault="00EC726A" w:rsidP="00760B25">
            <w:pPr>
              <w:jc w:val="left"/>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освіти (за згодою</w:t>
            </w:r>
            <w:r w:rsidR="00760B25">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779F50" w14:textId="3CBFA5CA" w:rsidR="00F66D00" w:rsidRPr="00AD09CF" w:rsidRDefault="00EC726A" w:rsidP="00AD09CF">
            <w:pPr>
              <w:rPr>
                <w:rFonts w:ascii="Times New Roman" w:eastAsia="Times New Roman" w:hAnsi="Times New Roman" w:cs="Times New Roman"/>
                <w:sz w:val="24"/>
                <w:szCs w:val="24"/>
                <w:lang w:val="uk-UA"/>
              </w:rPr>
            </w:pPr>
            <w:r w:rsidRPr="00EC726A">
              <w:rPr>
                <w:rFonts w:ascii="Times New Roman" w:eastAsia="Times New Roman" w:hAnsi="Times New Roman" w:cs="Times New Roman"/>
                <w:sz w:val="24"/>
                <w:szCs w:val="24"/>
                <w:lang w:val="uk-UA"/>
              </w:rPr>
              <w:t>30.12.2024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277BC8" w14:textId="46DBAF79" w:rsidR="00F66D00" w:rsidRPr="00AD09CF" w:rsidRDefault="00EC726A" w:rsidP="00AD09CF">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w:t>
            </w:r>
            <w:r w:rsidR="001D497D">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lang w:val="uk-UA"/>
              </w:rPr>
              <w:t>.2023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C47894" w14:textId="7782EBDE" w:rsidR="00F66D00" w:rsidRPr="00AD09CF" w:rsidRDefault="00EC726A" w:rsidP="0001702B">
            <w:pPr>
              <w:ind w:left="-99" w:right="-106"/>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виконується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407058" w14:textId="6D001411" w:rsidR="001D497D" w:rsidRPr="000058D3" w:rsidRDefault="0085317F" w:rsidP="001D497D">
            <w:pPr>
              <w:jc w:val="left"/>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п</w:t>
            </w:r>
            <w:r w:rsidR="001D497D" w:rsidRPr="000058D3">
              <w:rPr>
                <w:rFonts w:ascii="Times New Roman" w:eastAsia="Times New Roman" w:hAnsi="Times New Roman" w:cs="Times New Roman"/>
                <w:iCs/>
                <w:sz w:val="24"/>
                <w:szCs w:val="24"/>
                <w:lang w:val="uk-UA"/>
              </w:rPr>
              <w:t>роведено курси за проблемами:</w:t>
            </w:r>
          </w:p>
          <w:p w14:paraId="01F4D7B9" w14:textId="0C5C76C4"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1) «Користування психодіагностичними методиками WISC-IV, Leiter-3, Conners-3, PEP-3 та CASD» (15 осіб);</w:t>
            </w:r>
          </w:p>
          <w:p w14:paraId="29048463" w14:textId="77777777"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 xml:space="preserve">2) «Діяльність інклюзивно-ресурсного центру в </w:t>
            </w:r>
          </w:p>
          <w:p w14:paraId="2D579BF1" w14:textId="77777777"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контексті розвитку інклюзивної освіти» (15 осіб);</w:t>
            </w:r>
          </w:p>
          <w:p w14:paraId="3FCA75C4" w14:textId="3C6FD6C0"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3) «Стратегії підтримки дітей з особливими освітніми потребами в інклюзивному освітньому середовищі» (25 осіб);</w:t>
            </w:r>
          </w:p>
          <w:p w14:paraId="5514C462" w14:textId="77777777"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 xml:space="preserve">4) «Технологія складання індивідуальної програми </w:t>
            </w:r>
          </w:p>
          <w:p w14:paraId="679ED36C" w14:textId="298E5C04"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розвитку дитини з особливими освітніми потребами» (19 осіб);</w:t>
            </w:r>
          </w:p>
          <w:p w14:paraId="5321B1CC" w14:textId="77777777"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 xml:space="preserve">5) «Шляхи взаємодії з батьками дітей з особливими </w:t>
            </w:r>
          </w:p>
          <w:p w14:paraId="4EAEB799" w14:textId="77777777"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lastRenderedPageBreak/>
              <w:t>освітніми потребами в інклюзивному просторі» (20 осіб);</w:t>
            </w:r>
          </w:p>
          <w:p w14:paraId="16E8B8A3" w14:textId="556CDE3E"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6) «Створення інклюзивного освітнього середовища в закладі освіти» (22 особи).</w:t>
            </w:r>
          </w:p>
          <w:p w14:paraId="79000CB1" w14:textId="5145734A"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Проведено семінари:</w:t>
            </w:r>
          </w:p>
          <w:p w14:paraId="11F3ED72" w14:textId="77777777"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 xml:space="preserve">1) Семінар-тренінг «Стресменеджмент в </w:t>
            </w:r>
          </w:p>
          <w:p w14:paraId="55E8EDBA" w14:textId="77777777"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 xml:space="preserve">інклюзивному освітньому середовищі: інструменти </w:t>
            </w:r>
          </w:p>
          <w:p w14:paraId="63F4E511" w14:textId="77777777" w:rsidR="001D497D" w:rsidRPr="000058D3"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 xml:space="preserve">психологічного супроводу учасників освітнього </w:t>
            </w:r>
          </w:p>
          <w:p w14:paraId="4504979D" w14:textId="77777777" w:rsidR="001D497D" w:rsidRPr="001D497D" w:rsidRDefault="001D497D" w:rsidP="001D497D">
            <w:pPr>
              <w:jc w:val="left"/>
              <w:rPr>
                <w:rFonts w:ascii="Times New Roman" w:eastAsia="Times New Roman" w:hAnsi="Times New Roman" w:cs="Times New Roman"/>
                <w:iCs/>
                <w:sz w:val="24"/>
                <w:szCs w:val="24"/>
                <w:lang w:val="uk-UA"/>
              </w:rPr>
            </w:pPr>
            <w:r w:rsidRPr="000058D3">
              <w:rPr>
                <w:rFonts w:ascii="Times New Roman" w:eastAsia="Times New Roman" w:hAnsi="Times New Roman" w:cs="Times New Roman"/>
                <w:iCs/>
                <w:sz w:val="24"/>
                <w:szCs w:val="24"/>
                <w:lang w:val="uk-UA"/>
              </w:rPr>
              <w:t>процесу» (101 особа);</w:t>
            </w:r>
          </w:p>
          <w:p w14:paraId="5C394517" w14:textId="77777777" w:rsidR="001D497D" w:rsidRPr="001D497D" w:rsidRDefault="001D497D" w:rsidP="001D497D">
            <w:pPr>
              <w:jc w:val="left"/>
              <w:rPr>
                <w:rFonts w:ascii="Times New Roman" w:eastAsia="Times New Roman" w:hAnsi="Times New Roman" w:cs="Times New Roman"/>
                <w:iCs/>
                <w:sz w:val="24"/>
                <w:szCs w:val="24"/>
                <w:lang w:val="uk-UA"/>
              </w:rPr>
            </w:pPr>
            <w:r w:rsidRPr="001D497D">
              <w:rPr>
                <w:rFonts w:ascii="Times New Roman" w:eastAsia="Times New Roman" w:hAnsi="Times New Roman" w:cs="Times New Roman"/>
                <w:iCs/>
                <w:sz w:val="24"/>
                <w:szCs w:val="24"/>
                <w:lang w:val="uk-UA"/>
              </w:rPr>
              <w:t xml:space="preserve">2) Науково-практичний семінар «Теорія і практика </w:t>
            </w:r>
          </w:p>
          <w:p w14:paraId="07EDD04E" w14:textId="418418D3" w:rsidR="001D497D" w:rsidRPr="001D497D" w:rsidRDefault="001D497D" w:rsidP="001D497D">
            <w:pPr>
              <w:jc w:val="left"/>
              <w:rPr>
                <w:rFonts w:ascii="Times New Roman" w:eastAsia="Times New Roman" w:hAnsi="Times New Roman" w:cs="Times New Roman"/>
                <w:iCs/>
                <w:sz w:val="24"/>
                <w:szCs w:val="24"/>
                <w:lang w:val="uk-UA"/>
              </w:rPr>
            </w:pPr>
            <w:r w:rsidRPr="001D497D">
              <w:rPr>
                <w:rFonts w:ascii="Times New Roman" w:eastAsia="Times New Roman" w:hAnsi="Times New Roman" w:cs="Times New Roman"/>
                <w:iCs/>
                <w:sz w:val="24"/>
                <w:szCs w:val="24"/>
                <w:lang w:val="uk-UA"/>
              </w:rPr>
              <w:t>використання альтернативної та додаткової комунікації для осіб з особливими освітніми потребами» (149 осіб);</w:t>
            </w:r>
          </w:p>
          <w:p w14:paraId="495CEFEA" w14:textId="77777777" w:rsidR="001D497D" w:rsidRPr="001D497D" w:rsidRDefault="001D497D" w:rsidP="001D497D">
            <w:pPr>
              <w:jc w:val="left"/>
              <w:rPr>
                <w:rFonts w:ascii="Times New Roman" w:eastAsia="Times New Roman" w:hAnsi="Times New Roman" w:cs="Times New Roman"/>
                <w:iCs/>
                <w:sz w:val="24"/>
                <w:szCs w:val="24"/>
                <w:lang w:val="uk-UA"/>
              </w:rPr>
            </w:pPr>
            <w:r w:rsidRPr="001D497D">
              <w:rPr>
                <w:rFonts w:ascii="Times New Roman" w:eastAsia="Times New Roman" w:hAnsi="Times New Roman" w:cs="Times New Roman"/>
                <w:iCs/>
                <w:sz w:val="24"/>
                <w:szCs w:val="24"/>
                <w:lang w:val="uk-UA"/>
              </w:rPr>
              <w:t xml:space="preserve">3) «Онлайн-інструментарій для комплексної оцінки </w:t>
            </w:r>
          </w:p>
          <w:p w14:paraId="0D6CCAF6" w14:textId="77777777" w:rsidR="001D497D" w:rsidRPr="001D497D" w:rsidRDefault="001D497D" w:rsidP="001D497D">
            <w:pPr>
              <w:jc w:val="left"/>
              <w:rPr>
                <w:rFonts w:ascii="Times New Roman" w:eastAsia="Times New Roman" w:hAnsi="Times New Roman" w:cs="Times New Roman"/>
                <w:iCs/>
                <w:sz w:val="24"/>
                <w:szCs w:val="24"/>
                <w:lang w:val="uk-UA"/>
              </w:rPr>
            </w:pPr>
            <w:r w:rsidRPr="001D497D">
              <w:rPr>
                <w:rFonts w:ascii="Times New Roman" w:eastAsia="Times New Roman" w:hAnsi="Times New Roman" w:cs="Times New Roman"/>
                <w:iCs/>
                <w:sz w:val="24"/>
                <w:szCs w:val="24"/>
                <w:lang w:val="uk-UA"/>
              </w:rPr>
              <w:t>розвитку дитини» (17 осіб).</w:t>
            </w:r>
          </w:p>
          <w:p w14:paraId="21B308E0" w14:textId="410BC5DE" w:rsidR="001D497D" w:rsidRPr="001D497D" w:rsidRDefault="001D497D" w:rsidP="001D497D">
            <w:pPr>
              <w:jc w:val="left"/>
              <w:rPr>
                <w:rFonts w:ascii="Times New Roman" w:eastAsia="Times New Roman" w:hAnsi="Times New Roman" w:cs="Times New Roman"/>
                <w:iCs/>
                <w:sz w:val="24"/>
                <w:szCs w:val="24"/>
                <w:lang w:val="uk-UA"/>
              </w:rPr>
            </w:pPr>
            <w:r w:rsidRPr="001D497D">
              <w:rPr>
                <w:rFonts w:ascii="Times New Roman" w:eastAsia="Times New Roman" w:hAnsi="Times New Roman" w:cs="Times New Roman"/>
                <w:iCs/>
                <w:sz w:val="24"/>
                <w:szCs w:val="24"/>
                <w:lang w:val="uk-UA"/>
              </w:rPr>
              <w:t>Проведено майстер-клас:</w:t>
            </w:r>
          </w:p>
          <w:p w14:paraId="683539A0" w14:textId="5CF08D29" w:rsidR="00F66D00" w:rsidRPr="001D497D" w:rsidRDefault="001D497D" w:rsidP="001D497D">
            <w:pPr>
              <w:pStyle w:val="ab"/>
              <w:numPr>
                <w:ilvl w:val="0"/>
                <w:numId w:val="5"/>
              </w:numPr>
              <w:tabs>
                <w:tab w:val="left" w:pos="327"/>
              </w:tabs>
              <w:ind w:left="0" w:firstLine="33"/>
              <w:jc w:val="left"/>
              <w:rPr>
                <w:rFonts w:ascii="Times New Roman" w:eastAsia="Times New Roman" w:hAnsi="Times New Roman" w:cs="Times New Roman"/>
                <w:iCs/>
                <w:sz w:val="24"/>
                <w:szCs w:val="24"/>
                <w:lang w:val="uk-UA"/>
              </w:rPr>
            </w:pPr>
            <w:r w:rsidRPr="001D497D">
              <w:rPr>
                <w:rFonts w:ascii="Times New Roman" w:eastAsia="Times New Roman" w:hAnsi="Times New Roman" w:cs="Times New Roman"/>
                <w:iCs/>
                <w:sz w:val="24"/>
                <w:szCs w:val="24"/>
                <w:lang w:val="uk-UA"/>
              </w:rPr>
              <w:t>«Сенсорне виховання дітей з особливими освітніми потребами» (78 осіб)</w:t>
            </w:r>
          </w:p>
          <w:p w14:paraId="4CE1BEDB" w14:textId="77777777" w:rsidR="001D497D" w:rsidRPr="001D497D" w:rsidRDefault="001D497D" w:rsidP="001D497D">
            <w:pPr>
              <w:jc w:val="left"/>
              <w:rPr>
                <w:rFonts w:ascii="Times New Roman" w:eastAsia="Times New Roman" w:hAnsi="Times New Roman" w:cs="Times New Roman"/>
                <w:iCs/>
                <w:sz w:val="24"/>
                <w:szCs w:val="24"/>
                <w:lang w:val="uk-UA"/>
              </w:rPr>
            </w:pPr>
            <w:r w:rsidRPr="001D497D">
              <w:rPr>
                <w:rFonts w:ascii="Times New Roman" w:eastAsia="Times New Roman" w:hAnsi="Times New Roman" w:cs="Times New Roman"/>
                <w:iCs/>
                <w:sz w:val="24"/>
                <w:szCs w:val="24"/>
                <w:lang w:val="uk-UA"/>
              </w:rPr>
              <w:t>Проєкт професійного розвитку:</w:t>
            </w:r>
          </w:p>
          <w:p w14:paraId="0B63A497" w14:textId="77777777" w:rsidR="001D497D" w:rsidRPr="001D497D" w:rsidRDefault="001D497D" w:rsidP="001D497D">
            <w:pPr>
              <w:jc w:val="left"/>
              <w:rPr>
                <w:rFonts w:ascii="Times New Roman" w:eastAsia="Times New Roman" w:hAnsi="Times New Roman" w:cs="Times New Roman"/>
                <w:iCs/>
                <w:sz w:val="24"/>
                <w:szCs w:val="24"/>
                <w:lang w:val="uk-UA"/>
              </w:rPr>
            </w:pPr>
            <w:r w:rsidRPr="001D497D">
              <w:rPr>
                <w:rFonts w:ascii="Times New Roman" w:eastAsia="Times New Roman" w:hAnsi="Times New Roman" w:cs="Times New Roman"/>
                <w:iCs/>
                <w:sz w:val="24"/>
                <w:szCs w:val="24"/>
                <w:lang w:val="uk-UA"/>
              </w:rPr>
              <w:t xml:space="preserve">1) «Онлайн-інструменти для роботи з дітьми з </w:t>
            </w:r>
          </w:p>
          <w:p w14:paraId="0E52A634" w14:textId="7BB2A9CA" w:rsidR="001D497D" w:rsidRPr="001D497D" w:rsidRDefault="001D497D" w:rsidP="001D497D">
            <w:pPr>
              <w:jc w:val="left"/>
              <w:rPr>
                <w:rFonts w:ascii="Times New Roman" w:eastAsia="Times New Roman" w:hAnsi="Times New Roman" w:cs="Times New Roman"/>
                <w:iCs/>
                <w:sz w:val="24"/>
                <w:szCs w:val="24"/>
                <w:lang w:val="uk-UA"/>
              </w:rPr>
            </w:pPr>
            <w:r w:rsidRPr="001D497D">
              <w:rPr>
                <w:rFonts w:ascii="Times New Roman" w:eastAsia="Times New Roman" w:hAnsi="Times New Roman" w:cs="Times New Roman"/>
                <w:iCs/>
                <w:sz w:val="24"/>
                <w:szCs w:val="24"/>
                <w:lang w:val="uk-UA"/>
              </w:rPr>
              <w:t>особливими освітніми потребами» (49 осіб).</w:t>
            </w:r>
          </w:p>
        </w:tc>
      </w:tr>
      <w:bookmarkEnd w:id="4"/>
    </w:tbl>
    <w:p w14:paraId="5FF6BE34" w14:textId="77777777" w:rsidR="003D4AAF" w:rsidRPr="00C95B3C" w:rsidRDefault="003D4AAF">
      <w:pPr>
        <w:rPr>
          <w:rFonts w:ascii="Times New Roman" w:eastAsia="Times New Roman" w:hAnsi="Times New Roman" w:cs="Times New Roman"/>
          <w:sz w:val="24"/>
          <w:szCs w:val="24"/>
          <w:lang w:val="uk-UA"/>
        </w:rPr>
      </w:pPr>
    </w:p>
    <w:sectPr w:rsidR="003D4AAF" w:rsidRPr="00C95B3C" w:rsidSect="00C114E5">
      <w:headerReference w:type="default" r:id="rId8"/>
      <w:pgSz w:w="16834" w:h="11909" w:orient="landscape"/>
      <w:pgMar w:top="1701" w:right="1134" w:bottom="1134"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13892" w14:textId="77777777" w:rsidR="00E81CF4" w:rsidRDefault="00E81CF4">
      <w:r>
        <w:separator/>
      </w:r>
    </w:p>
  </w:endnote>
  <w:endnote w:type="continuationSeparator" w:id="0">
    <w:p w14:paraId="4D81C5E4" w14:textId="77777777" w:rsidR="00E81CF4" w:rsidRDefault="00E8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F5B34" w14:textId="77777777" w:rsidR="00E81CF4" w:rsidRDefault="00E81CF4">
      <w:r>
        <w:separator/>
      </w:r>
    </w:p>
  </w:footnote>
  <w:footnote w:type="continuationSeparator" w:id="0">
    <w:p w14:paraId="152372D7" w14:textId="77777777" w:rsidR="00E81CF4" w:rsidRDefault="00E8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925298"/>
      <w:docPartObj>
        <w:docPartGallery w:val="Page Numbers (Top of Page)"/>
        <w:docPartUnique/>
      </w:docPartObj>
    </w:sdtPr>
    <w:sdtEndPr/>
    <w:sdtContent>
      <w:p w14:paraId="1CCEA767" w14:textId="6DCE1005" w:rsidR="001A1953" w:rsidRDefault="001A1953">
        <w:pPr>
          <w:pStyle w:val="a7"/>
        </w:pPr>
        <w:r>
          <w:fldChar w:fldCharType="begin"/>
        </w:r>
        <w:r>
          <w:instrText>PAGE   \* MERGEFORMAT</w:instrText>
        </w:r>
        <w:r>
          <w:fldChar w:fldCharType="separate"/>
        </w:r>
        <w:r w:rsidR="0090022E" w:rsidRPr="0090022E">
          <w:rPr>
            <w:noProof/>
            <w:lang w:val="uk-UA"/>
          </w:rPr>
          <w:t>12</w:t>
        </w:r>
        <w:r>
          <w:fldChar w:fldCharType="end"/>
        </w:r>
      </w:p>
    </w:sdtContent>
  </w:sdt>
  <w:p w14:paraId="37C3B99A" w14:textId="76FB94A8" w:rsidR="003D4AAF" w:rsidRDefault="00C114E5" w:rsidP="00C114E5">
    <w:pPr>
      <w:jc w:val="right"/>
      <w:rPr>
        <w:rFonts w:ascii="Times New Roman" w:hAnsi="Times New Roman" w:cs="Times New Roman"/>
        <w:sz w:val="28"/>
        <w:szCs w:val="28"/>
        <w:lang w:val="uk-UA"/>
      </w:rPr>
    </w:pPr>
    <w:r w:rsidRPr="00C114E5">
      <w:rPr>
        <w:rFonts w:ascii="Times New Roman" w:hAnsi="Times New Roman" w:cs="Times New Roman"/>
        <w:sz w:val="28"/>
        <w:szCs w:val="28"/>
        <w:lang w:val="uk-UA"/>
      </w:rPr>
      <w:t>Продовження додатку</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43"/>
      <w:gridCol w:w="2329"/>
      <w:gridCol w:w="1418"/>
      <w:gridCol w:w="1418"/>
      <w:gridCol w:w="1558"/>
      <w:gridCol w:w="5471"/>
    </w:tblGrid>
    <w:tr w:rsidR="00C114E5" w:rsidRPr="00EC726A" w14:paraId="747BEDB2" w14:textId="77777777" w:rsidTr="00C114E5">
      <w:trPr>
        <w:trHeight w:val="178"/>
      </w:trPr>
      <w:tc>
        <w:tcPr>
          <w:tcW w:w="2543" w:type="dxa"/>
          <w:shd w:val="clear" w:color="auto" w:fill="auto"/>
          <w:tcMar>
            <w:top w:w="100" w:type="dxa"/>
            <w:left w:w="100" w:type="dxa"/>
            <w:bottom w:w="100" w:type="dxa"/>
            <w:right w:w="100" w:type="dxa"/>
          </w:tcMar>
        </w:tcPr>
        <w:p w14:paraId="1C7DC4A3" w14:textId="77777777" w:rsidR="00C114E5" w:rsidRPr="00EC726A" w:rsidRDefault="00C114E5" w:rsidP="00C114E5">
          <w:pPr>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1</w:t>
          </w:r>
        </w:p>
      </w:tc>
      <w:tc>
        <w:tcPr>
          <w:tcW w:w="2329" w:type="dxa"/>
          <w:shd w:val="clear" w:color="auto" w:fill="auto"/>
          <w:tcMar>
            <w:top w:w="100" w:type="dxa"/>
            <w:left w:w="100" w:type="dxa"/>
            <w:bottom w:w="100" w:type="dxa"/>
            <w:right w:w="100" w:type="dxa"/>
          </w:tcMar>
        </w:tcPr>
        <w:p w14:paraId="1FED5E82" w14:textId="77777777" w:rsidR="00C114E5" w:rsidRPr="00EC726A" w:rsidRDefault="00C114E5" w:rsidP="00C114E5">
          <w:pPr>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2</w:t>
          </w:r>
        </w:p>
      </w:tc>
      <w:tc>
        <w:tcPr>
          <w:tcW w:w="1418" w:type="dxa"/>
          <w:shd w:val="clear" w:color="auto" w:fill="auto"/>
          <w:tcMar>
            <w:top w:w="100" w:type="dxa"/>
            <w:left w:w="100" w:type="dxa"/>
            <w:bottom w:w="100" w:type="dxa"/>
            <w:right w:w="100" w:type="dxa"/>
          </w:tcMar>
        </w:tcPr>
        <w:p w14:paraId="704F7688" w14:textId="77777777" w:rsidR="00C114E5" w:rsidRPr="00EC726A" w:rsidRDefault="00C114E5" w:rsidP="00C114E5">
          <w:pPr>
            <w:ind w:left="-98"/>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3</w:t>
          </w:r>
        </w:p>
      </w:tc>
      <w:tc>
        <w:tcPr>
          <w:tcW w:w="1418" w:type="dxa"/>
          <w:shd w:val="clear" w:color="auto" w:fill="auto"/>
          <w:tcMar>
            <w:top w:w="100" w:type="dxa"/>
            <w:left w:w="100" w:type="dxa"/>
            <w:bottom w:w="100" w:type="dxa"/>
            <w:right w:w="100" w:type="dxa"/>
          </w:tcMar>
        </w:tcPr>
        <w:p w14:paraId="338324AC" w14:textId="77777777" w:rsidR="00C114E5" w:rsidRPr="00EC726A" w:rsidRDefault="00C114E5" w:rsidP="00C114E5">
          <w:pPr>
            <w:ind w:left="-96"/>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4</w:t>
          </w:r>
        </w:p>
      </w:tc>
      <w:tc>
        <w:tcPr>
          <w:tcW w:w="1558" w:type="dxa"/>
          <w:shd w:val="clear" w:color="auto" w:fill="auto"/>
          <w:tcMar>
            <w:top w:w="100" w:type="dxa"/>
            <w:left w:w="100" w:type="dxa"/>
            <w:bottom w:w="100" w:type="dxa"/>
            <w:right w:w="100" w:type="dxa"/>
          </w:tcMar>
        </w:tcPr>
        <w:p w14:paraId="4922B3E0" w14:textId="77777777" w:rsidR="00C114E5" w:rsidRPr="00EC726A" w:rsidRDefault="00C114E5" w:rsidP="00C114E5">
          <w:pPr>
            <w:ind w:left="140" w:right="60"/>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5</w:t>
          </w:r>
        </w:p>
      </w:tc>
      <w:tc>
        <w:tcPr>
          <w:tcW w:w="5471" w:type="dxa"/>
          <w:shd w:val="clear" w:color="auto" w:fill="auto"/>
          <w:tcMar>
            <w:top w:w="100" w:type="dxa"/>
            <w:left w:w="100" w:type="dxa"/>
            <w:bottom w:w="100" w:type="dxa"/>
            <w:right w:w="100" w:type="dxa"/>
          </w:tcMar>
        </w:tcPr>
        <w:p w14:paraId="535B6699" w14:textId="77777777" w:rsidR="00C114E5" w:rsidRPr="00EC726A" w:rsidRDefault="00C114E5" w:rsidP="00C114E5">
          <w:pPr>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6</w:t>
          </w:r>
        </w:p>
      </w:tc>
    </w:tr>
  </w:tbl>
  <w:p w14:paraId="2C82DF2D" w14:textId="77777777" w:rsidR="00C114E5" w:rsidRPr="00C114E5" w:rsidRDefault="00C114E5" w:rsidP="00C114E5">
    <w:pPr>
      <w:jc w:val="right"/>
      <w:rPr>
        <w:rFonts w:ascii="Times New Roman" w:hAnsi="Times New Roman" w:cs="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B59"/>
    <w:multiLevelType w:val="hybridMultilevel"/>
    <w:tmpl w:val="8E189C0C"/>
    <w:lvl w:ilvl="0" w:tplc="39689AD0">
      <w:start w:val="4"/>
      <w:numFmt w:val="decimal"/>
      <w:lvlText w:val="%1."/>
      <w:lvlJc w:val="left"/>
      <w:pPr>
        <w:ind w:left="1080" w:hanging="360"/>
      </w:pPr>
      <w:rPr>
        <w:rFonts w:hint="default"/>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364067E"/>
    <w:multiLevelType w:val="hybridMultilevel"/>
    <w:tmpl w:val="63C02E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8990959"/>
    <w:multiLevelType w:val="hybridMultilevel"/>
    <w:tmpl w:val="EF74C02A"/>
    <w:lvl w:ilvl="0" w:tplc="B2BC49D6">
      <w:start w:val="1"/>
      <w:numFmt w:val="decimal"/>
      <w:lvlText w:val="%1."/>
      <w:lvlJc w:val="left"/>
      <w:pPr>
        <w:ind w:left="720" w:hanging="360"/>
      </w:pPr>
      <w:rPr>
        <w:rFonts w:eastAsia="Arial"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0F64144"/>
    <w:multiLevelType w:val="hybridMultilevel"/>
    <w:tmpl w:val="932EF6D6"/>
    <w:lvl w:ilvl="0" w:tplc="B93A5CD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7880209D"/>
    <w:multiLevelType w:val="hybridMultilevel"/>
    <w:tmpl w:val="23027838"/>
    <w:lvl w:ilvl="0" w:tplc="536CE914">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AF"/>
    <w:rsid w:val="000058D3"/>
    <w:rsid w:val="0000630B"/>
    <w:rsid w:val="0001702B"/>
    <w:rsid w:val="0003439B"/>
    <w:rsid w:val="00061531"/>
    <w:rsid w:val="00097E9D"/>
    <w:rsid w:val="000A01F9"/>
    <w:rsid w:val="000C5A00"/>
    <w:rsid w:val="00194B27"/>
    <w:rsid w:val="001A1953"/>
    <w:rsid w:val="001B6262"/>
    <w:rsid w:val="001C07E8"/>
    <w:rsid w:val="001D497D"/>
    <w:rsid w:val="001D5BC3"/>
    <w:rsid w:val="002348BA"/>
    <w:rsid w:val="00235B59"/>
    <w:rsid w:val="00241132"/>
    <w:rsid w:val="00264F29"/>
    <w:rsid w:val="002976B9"/>
    <w:rsid w:val="002A4D9D"/>
    <w:rsid w:val="002A6F7D"/>
    <w:rsid w:val="002C4839"/>
    <w:rsid w:val="0032734E"/>
    <w:rsid w:val="00327F9F"/>
    <w:rsid w:val="00344097"/>
    <w:rsid w:val="00382911"/>
    <w:rsid w:val="003922ED"/>
    <w:rsid w:val="00397905"/>
    <w:rsid w:val="003A10E9"/>
    <w:rsid w:val="003A29FB"/>
    <w:rsid w:val="003D2EC5"/>
    <w:rsid w:val="003D4AAF"/>
    <w:rsid w:val="003F0689"/>
    <w:rsid w:val="00411101"/>
    <w:rsid w:val="00475418"/>
    <w:rsid w:val="004B58A6"/>
    <w:rsid w:val="004C6514"/>
    <w:rsid w:val="00544B79"/>
    <w:rsid w:val="005550C9"/>
    <w:rsid w:val="00566CCE"/>
    <w:rsid w:val="005A511B"/>
    <w:rsid w:val="005B1C22"/>
    <w:rsid w:val="005E7D3A"/>
    <w:rsid w:val="005F1C73"/>
    <w:rsid w:val="00603725"/>
    <w:rsid w:val="00606A9E"/>
    <w:rsid w:val="00613A99"/>
    <w:rsid w:val="00617ACA"/>
    <w:rsid w:val="00641285"/>
    <w:rsid w:val="006D09CB"/>
    <w:rsid w:val="006E55B7"/>
    <w:rsid w:val="00725917"/>
    <w:rsid w:val="00737534"/>
    <w:rsid w:val="00741816"/>
    <w:rsid w:val="00751FEB"/>
    <w:rsid w:val="007567EC"/>
    <w:rsid w:val="0075732A"/>
    <w:rsid w:val="00760B25"/>
    <w:rsid w:val="0078401C"/>
    <w:rsid w:val="0079746D"/>
    <w:rsid w:val="007B05D3"/>
    <w:rsid w:val="00850643"/>
    <w:rsid w:val="0085317F"/>
    <w:rsid w:val="00854BBE"/>
    <w:rsid w:val="00860064"/>
    <w:rsid w:val="00867252"/>
    <w:rsid w:val="008705BE"/>
    <w:rsid w:val="008A7778"/>
    <w:rsid w:val="008B006B"/>
    <w:rsid w:val="008B3BAF"/>
    <w:rsid w:val="008C4D80"/>
    <w:rsid w:val="008D53CA"/>
    <w:rsid w:val="0090022E"/>
    <w:rsid w:val="00903085"/>
    <w:rsid w:val="0094780D"/>
    <w:rsid w:val="00953946"/>
    <w:rsid w:val="009626F5"/>
    <w:rsid w:val="00965456"/>
    <w:rsid w:val="00973282"/>
    <w:rsid w:val="009A4C2D"/>
    <w:rsid w:val="00A000F7"/>
    <w:rsid w:val="00A37007"/>
    <w:rsid w:val="00A94B11"/>
    <w:rsid w:val="00AA6D51"/>
    <w:rsid w:val="00AC357E"/>
    <w:rsid w:val="00AD09CF"/>
    <w:rsid w:val="00B40F42"/>
    <w:rsid w:val="00B5651C"/>
    <w:rsid w:val="00B83EAF"/>
    <w:rsid w:val="00BB3BAC"/>
    <w:rsid w:val="00BC0010"/>
    <w:rsid w:val="00BD53E0"/>
    <w:rsid w:val="00BE5E30"/>
    <w:rsid w:val="00BF5377"/>
    <w:rsid w:val="00C10BD1"/>
    <w:rsid w:val="00C114E5"/>
    <w:rsid w:val="00C40A64"/>
    <w:rsid w:val="00C44213"/>
    <w:rsid w:val="00C95B3C"/>
    <w:rsid w:val="00CC187F"/>
    <w:rsid w:val="00CC51CF"/>
    <w:rsid w:val="00CC7D06"/>
    <w:rsid w:val="00CD7C55"/>
    <w:rsid w:val="00CF60F2"/>
    <w:rsid w:val="00D0667F"/>
    <w:rsid w:val="00D169D7"/>
    <w:rsid w:val="00D32E67"/>
    <w:rsid w:val="00D71AEC"/>
    <w:rsid w:val="00DA41CC"/>
    <w:rsid w:val="00DF6D87"/>
    <w:rsid w:val="00DF789D"/>
    <w:rsid w:val="00E027B1"/>
    <w:rsid w:val="00E341A2"/>
    <w:rsid w:val="00E567F4"/>
    <w:rsid w:val="00E6636D"/>
    <w:rsid w:val="00E72D2D"/>
    <w:rsid w:val="00E81CF4"/>
    <w:rsid w:val="00E90D14"/>
    <w:rsid w:val="00E91CB7"/>
    <w:rsid w:val="00EC51B1"/>
    <w:rsid w:val="00EC726A"/>
    <w:rsid w:val="00EE57AA"/>
    <w:rsid w:val="00F12A5F"/>
    <w:rsid w:val="00F26B54"/>
    <w:rsid w:val="00F42318"/>
    <w:rsid w:val="00F66D00"/>
    <w:rsid w:val="00F9318C"/>
    <w:rsid w:val="00FC773A"/>
    <w:rsid w:val="00FD159C"/>
    <w:rsid w:val="00FE1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059D"/>
  <w15:docId w15:val="{E29022DB-F1F9-4C03-A2E2-346BDEDB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uk-UA"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E6636D"/>
    <w:pPr>
      <w:tabs>
        <w:tab w:val="center" w:pos="4513"/>
        <w:tab w:val="right" w:pos="9026"/>
      </w:tabs>
    </w:pPr>
  </w:style>
  <w:style w:type="character" w:customStyle="1" w:styleId="a8">
    <w:name w:val="Верхній колонтитул Знак"/>
    <w:basedOn w:val="a0"/>
    <w:link w:val="a7"/>
    <w:uiPriority w:val="99"/>
    <w:rsid w:val="00E6636D"/>
  </w:style>
  <w:style w:type="paragraph" w:styleId="a9">
    <w:name w:val="footer"/>
    <w:basedOn w:val="a"/>
    <w:link w:val="aa"/>
    <w:uiPriority w:val="99"/>
    <w:unhideWhenUsed/>
    <w:rsid w:val="00E6636D"/>
    <w:pPr>
      <w:tabs>
        <w:tab w:val="center" w:pos="4513"/>
        <w:tab w:val="right" w:pos="9026"/>
      </w:tabs>
    </w:pPr>
  </w:style>
  <w:style w:type="character" w:customStyle="1" w:styleId="aa">
    <w:name w:val="Нижній колонтитул Знак"/>
    <w:basedOn w:val="a0"/>
    <w:link w:val="a9"/>
    <w:uiPriority w:val="99"/>
    <w:rsid w:val="00E6636D"/>
  </w:style>
  <w:style w:type="character" w:customStyle="1" w:styleId="fontstyle01">
    <w:name w:val="fontstyle01"/>
    <w:basedOn w:val="a0"/>
    <w:rsid w:val="00CC187F"/>
    <w:rPr>
      <w:rFonts w:ascii="Times New Roman" w:hAnsi="Times New Roman" w:cs="Times New Roman" w:hint="default"/>
      <w:b/>
      <w:bCs/>
      <w:i w:val="0"/>
      <w:iCs w:val="0"/>
      <w:color w:val="000000"/>
      <w:sz w:val="28"/>
      <w:szCs w:val="28"/>
    </w:rPr>
  </w:style>
  <w:style w:type="paragraph" w:styleId="ab">
    <w:name w:val="List Paragraph"/>
    <w:basedOn w:val="a"/>
    <w:uiPriority w:val="34"/>
    <w:qFormat/>
    <w:rsid w:val="00566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59233">
      <w:bodyDiv w:val="1"/>
      <w:marLeft w:val="0"/>
      <w:marRight w:val="0"/>
      <w:marTop w:val="0"/>
      <w:marBottom w:val="0"/>
      <w:divBdr>
        <w:top w:val="none" w:sz="0" w:space="0" w:color="auto"/>
        <w:left w:val="none" w:sz="0" w:space="0" w:color="auto"/>
        <w:bottom w:val="none" w:sz="0" w:space="0" w:color="auto"/>
        <w:right w:val="none" w:sz="0" w:space="0" w:color="auto"/>
      </w:divBdr>
    </w:div>
    <w:div w:id="514151263">
      <w:bodyDiv w:val="1"/>
      <w:marLeft w:val="0"/>
      <w:marRight w:val="0"/>
      <w:marTop w:val="0"/>
      <w:marBottom w:val="0"/>
      <w:divBdr>
        <w:top w:val="none" w:sz="0" w:space="0" w:color="auto"/>
        <w:left w:val="none" w:sz="0" w:space="0" w:color="auto"/>
        <w:bottom w:val="none" w:sz="0" w:space="0" w:color="auto"/>
        <w:right w:val="none" w:sz="0" w:space="0" w:color="auto"/>
      </w:divBdr>
    </w:div>
    <w:div w:id="686948721">
      <w:bodyDiv w:val="1"/>
      <w:marLeft w:val="0"/>
      <w:marRight w:val="0"/>
      <w:marTop w:val="0"/>
      <w:marBottom w:val="0"/>
      <w:divBdr>
        <w:top w:val="none" w:sz="0" w:space="0" w:color="auto"/>
        <w:left w:val="none" w:sz="0" w:space="0" w:color="auto"/>
        <w:bottom w:val="none" w:sz="0" w:space="0" w:color="auto"/>
        <w:right w:val="none" w:sz="0" w:space="0" w:color="auto"/>
      </w:divBdr>
    </w:div>
    <w:div w:id="1203860743">
      <w:bodyDiv w:val="1"/>
      <w:marLeft w:val="0"/>
      <w:marRight w:val="0"/>
      <w:marTop w:val="0"/>
      <w:marBottom w:val="0"/>
      <w:divBdr>
        <w:top w:val="none" w:sz="0" w:space="0" w:color="auto"/>
        <w:left w:val="none" w:sz="0" w:space="0" w:color="auto"/>
        <w:bottom w:val="none" w:sz="0" w:space="0" w:color="auto"/>
        <w:right w:val="none" w:sz="0" w:space="0" w:color="auto"/>
      </w:divBdr>
    </w:div>
    <w:div w:id="1611428644">
      <w:bodyDiv w:val="1"/>
      <w:marLeft w:val="0"/>
      <w:marRight w:val="0"/>
      <w:marTop w:val="0"/>
      <w:marBottom w:val="0"/>
      <w:divBdr>
        <w:top w:val="none" w:sz="0" w:space="0" w:color="auto"/>
        <w:left w:val="none" w:sz="0" w:space="0" w:color="auto"/>
        <w:bottom w:val="none" w:sz="0" w:space="0" w:color="auto"/>
        <w:right w:val="none" w:sz="0" w:space="0" w:color="auto"/>
      </w:divBdr>
    </w:div>
    <w:div w:id="1751006154">
      <w:bodyDiv w:val="1"/>
      <w:marLeft w:val="0"/>
      <w:marRight w:val="0"/>
      <w:marTop w:val="0"/>
      <w:marBottom w:val="0"/>
      <w:divBdr>
        <w:top w:val="none" w:sz="0" w:space="0" w:color="auto"/>
        <w:left w:val="none" w:sz="0" w:space="0" w:color="auto"/>
        <w:bottom w:val="none" w:sz="0" w:space="0" w:color="auto"/>
        <w:right w:val="none" w:sz="0" w:space="0" w:color="auto"/>
      </w:divBdr>
    </w:div>
    <w:div w:id="1891303635">
      <w:bodyDiv w:val="1"/>
      <w:marLeft w:val="0"/>
      <w:marRight w:val="0"/>
      <w:marTop w:val="0"/>
      <w:marBottom w:val="0"/>
      <w:divBdr>
        <w:top w:val="none" w:sz="0" w:space="0" w:color="auto"/>
        <w:left w:val="none" w:sz="0" w:space="0" w:color="auto"/>
        <w:bottom w:val="none" w:sz="0" w:space="0" w:color="auto"/>
        <w:right w:val="none" w:sz="0" w:space="0" w:color="auto"/>
      </w:divBdr>
    </w:div>
    <w:div w:id="191473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EB0FD-E9A5-43E4-B513-B1CB9197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12254</Words>
  <Characters>6986</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Департамент будівництва</cp:lastModifiedBy>
  <cp:revision>8</cp:revision>
  <dcterms:created xsi:type="dcterms:W3CDTF">2023-10-06T10:02:00Z</dcterms:created>
  <dcterms:modified xsi:type="dcterms:W3CDTF">2023-10-06T12:22:00Z</dcterms:modified>
</cp:coreProperties>
</file>