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Default="0051073A" w:rsidP="0051073A">
      <w:pPr>
        <w:spacing w:after="0" w:line="240" w:lineRule="auto"/>
        <w:ind w:firstLine="567"/>
        <w:jc w:val="center"/>
        <w:rPr>
          <w:rFonts w:ascii="Times New Roman" w:hAnsi="Times New Roman" w:cs="Times New Roman"/>
          <w:sz w:val="28"/>
        </w:rPr>
      </w:pPr>
    </w:p>
    <w:p w:rsidR="0051073A" w:rsidRPr="0051073A" w:rsidRDefault="0051073A" w:rsidP="0051073A">
      <w:pPr>
        <w:spacing w:after="0" w:line="240" w:lineRule="auto"/>
        <w:ind w:firstLine="567"/>
        <w:jc w:val="center"/>
        <w:rPr>
          <w:rFonts w:ascii="Times New Roman" w:hAnsi="Times New Roman" w:cs="Times New Roman"/>
          <w:b/>
          <w:sz w:val="32"/>
        </w:rPr>
      </w:pPr>
      <w:r w:rsidRPr="0051073A">
        <w:rPr>
          <w:rFonts w:ascii="Times New Roman" w:hAnsi="Times New Roman" w:cs="Times New Roman"/>
          <w:b/>
          <w:sz w:val="32"/>
        </w:rPr>
        <w:t>ЗВІТ</w:t>
      </w:r>
    </w:p>
    <w:p w:rsidR="0051073A" w:rsidRDefault="0051073A" w:rsidP="0051073A">
      <w:pPr>
        <w:spacing w:after="0" w:line="240" w:lineRule="auto"/>
        <w:ind w:firstLine="567"/>
        <w:jc w:val="center"/>
        <w:rPr>
          <w:rFonts w:ascii="Times New Roman" w:hAnsi="Times New Roman" w:cs="Times New Roman"/>
          <w:b/>
          <w:sz w:val="32"/>
        </w:rPr>
      </w:pPr>
      <w:r w:rsidRPr="0051073A">
        <w:rPr>
          <w:rFonts w:ascii="Times New Roman" w:hAnsi="Times New Roman" w:cs="Times New Roman"/>
          <w:b/>
          <w:sz w:val="32"/>
        </w:rPr>
        <w:t>ПРО СТРАТЕГІЧНУ ЕКОЛОГІЧНУ ОЦІНКУ</w:t>
      </w:r>
    </w:p>
    <w:p w:rsidR="0051073A" w:rsidRPr="0051073A" w:rsidRDefault="0051073A" w:rsidP="0051073A">
      <w:pPr>
        <w:spacing w:after="0" w:line="240" w:lineRule="auto"/>
        <w:ind w:firstLine="567"/>
        <w:jc w:val="center"/>
        <w:rPr>
          <w:rFonts w:ascii="Times New Roman" w:hAnsi="Times New Roman" w:cs="Times New Roman"/>
          <w:b/>
          <w:sz w:val="32"/>
        </w:rPr>
      </w:pPr>
    </w:p>
    <w:p w:rsidR="003408F1" w:rsidRDefault="0051073A" w:rsidP="0051073A">
      <w:pPr>
        <w:spacing w:after="0" w:line="240" w:lineRule="auto"/>
        <w:ind w:firstLine="567"/>
        <w:jc w:val="center"/>
        <w:rPr>
          <w:rFonts w:ascii="Times New Roman" w:hAnsi="Times New Roman" w:cs="Times New Roman"/>
          <w:b/>
          <w:sz w:val="32"/>
        </w:rPr>
      </w:pPr>
      <w:r w:rsidRPr="0051073A">
        <w:rPr>
          <w:rFonts w:ascii="Times New Roman" w:hAnsi="Times New Roman" w:cs="Times New Roman"/>
          <w:b/>
          <w:sz w:val="32"/>
        </w:rPr>
        <w:t>РЕГІОНАЛЬНОЇ ПРОГРАМИ</w:t>
      </w:r>
    </w:p>
    <w:p w:rsidR="006B0076" w:rsidRDefault="006B0076" w:rsidP="0051073A">
      <w:pPr>
        <w:spacing w:after="0" w:line="240" w:lineRule="auto"/>
        <w:ind w:firstLine="567"/>
        <w:jc w:val="center"/>
        <w:rPr>
          <w:rFonts w:ascii="Times New Roman" w:hAnsi="Times New Roman" w:cs="Times New Roman"/>
          <w:sz w:val="28"/>
        </w:rPr>
      </w:pPr>
      <w:r w:rsidRPr="006B0076">
        <w:rPr>
          <w:rFonts w:ascii="Times New Roman" w:hAnsi="Times New Roman" w:cs="Times New Roman"/>
          <w:sz w:val="28"/>
        </w:rPr>
        <w:t>«Питна вода Луганщини» на 2021-2024 роки</w:t>
      </w: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p>
    <w:p w:rsidR="006B0076" w:rsidRDefault="006B0076" w:rsidP="0051073A">
      <w:pPr>
        <w:spacing w:after="0" w:line="240" w:lineRule="auto"/>
        <w:ind w:firstLine="567"/>
        <w:jc w:val="center"/>
        <w:rPr>
          <w:rFonts w:ascii="Times New Roman" w:hAnsi="Times New Roman" w:cs="Times New Roman"/>
          <w:sz w:val="28"/>
        </w:rPr>
      </w:pPr>
      <w:r>
        <w:rPr>
          <w:rFonts w:ascii="Times New Roman" w:hAnsi="Times New Roman" w:cs="Times New Roman"/>
          <w:sz w:val="28"/>
        </w:rPr>
        <w:t>2020</w:t>
      </w:r>
    </w:p>
    <w:p w:rsidR="006B0076" w:rsidRDefault="006B0076" w:rsidP="006B0076">
      <w:pPr>
        <w:pStyle w:val="50"/>
        <w:shd w:val="clear" w:color="auto" w:fill="auto"/>
        <w:spacing w:before="0" w:after="212" w:line="280" w:lineRule="exact"/>
        <w:ind w:right="380"/>
      </w:pPr>
      <w:r>
        <w:rPr>
          <w:color w:val="000000"/>
          <w:lang w:eastAsia="uk-UA" w:bidi="uk-UA"/>
        </w:rPr>
        <w:lastRenderedPageBreak/>
        <w:t>ЗМІСТ</w:t>
      </w:r>
    </w:p>
    <w:tbl>
      <w:tblPr>
        <w:tblStyle w:val="a3"/>
        <w:tblW w:w="9473"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198"/>
        <w:gridCol w:w="709"/>
      </w:tblGrid>
      <w:tr w:rsidR="006B0076" w:rsidTr="00681B39">
        <w:trPr>
          <w:trHeight w:val="355"/>
        </w:trPr>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p>
        </w:tc>
        <w:tc>
          <w:tcPr>
            <w:tcW w:w="8198" w:type="dxa"/>
          </w:tcPr>
          <w:p w:rsidR="006B0076" w:rsidRDefault="006B0076" w:rsidP="006B0076">
            <w:pPr>
              <w:pStyle w:val="20"/>
              <w:shd w:val="clear" w:color="auto" w:fill="auto"/>
              <w:tabs>
                <w:tab w:val="left" w:pos="641"/>
              </w:tabs>
              <w:spacing w:before="0" w:after="0" w:line="322" w:lineRule="exact"/>
              <w:ind w:firstLine="0"/>
              <w:rPr>
                <w:color w:val="000000"/>
                <w:lang w:eastAsia="uk-UA" w:bidi="uk-UA"/>
              </w:rPr>
            </w:pPr>
            <w:r>
              <w:rPr>
                <w:color w:val="000000"/>
                <w:lang w:eastAsia="uk-UA" w:bidi="uk-UA"/>
              </w:rPr>
              <w:t>ВСТУП</w:t>
            </w:r>
          </w:p>
        </w:tc>
        <w:tc>
          <w:tcPr>
            <w:tcW w:w="709"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3</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1.</w:t>
            </w:r>
          </w:p>
        </w:tc>
        <w:tc>
          <w:tcPr>
            <w:tcW w:w="8198" w:type="dxa"/>
          </w:tcPr>
          <w:p w:rsidR="006B0076" w:rsidRPr="006B0076" w:rsidRDefault="006B0076" w:rsidP="007D6279">
            <w:pPr>
              <w:pStyle w:val="20"/>
              <w:shd w:val="clear" w:color="auto" w:fill="auto"/>
              <w:tabs>
                <w:tab w:val="left" w:pos="641"/>
              </w:tabs>
              <w:spacing w:before="0" w:after="0" w:line="240" w:lineRule="auto"/>
              <w:ind w:firstLine="0"/>
              <w:jc w:val="both"/>
            </w:pPr>
            <w:r>
              <w:rPr>
                <w:color w:val="000000"/>
                <w:lang w:eastAsia="uk-UA" w:bidi="uk-UA"/>
              </w:rPr>
              <w:t>Зміст та основні цілі документа державного планування (ДДП), його зв'язок з іншими ДДП</w:t>
            </w:r>
          </w:p>
        </w:tc>
        <w:tc>
          <w:tcPr>
            <w:tcW w:w="709" w:type="dxa"/>
          </w:tcPr>
          <w:p w:rsidR="006B0076" w:rsidRDefault="00917B48" w:rsidP="006B0076">
            <w:pPr>
              <w:pStyle w:val="20"/>
              <w:shd w:val="clear" w:color="auto" w:fill="auto"/>
              <w:spacing w:before="0" w:after="184" w:line="280" w:lineRule="exact"/>
              <w:ind w:firstLine="0"/>
              <w:rPr>
                <w:color w:val="000000"/>
                <w:lang w:eastAsia="uk-UA" w:bidi="uk-UA"/>
              </w:rPr>
            </w:pPr>
            <w:r>
              <w:rPr>
                <w:color w:val="000000"/>
                <w:lang w:eastAsia="uk-UA" w:bidi="uk-UA"/>
              </w:rPr>
              <w:t>4</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2.</w:t>
            </w:r>
          </w:p>
        </w:tc>
        <w:tc>
          <w:tcPr>
            <w:tcW w:w="8198" w:type="dxa"/>
          </w:tcPr>
          <w:p w:rsidR="006B0076" w:rsidRPr="006B0076" w:rsidRDefault="006B0076" w:rsidP="007D6279">
            <w:pPr>
              <w:pStyle w:val="20"/>
              <w:shd w:val="clear" w:color="auto" w:fill="auto"/>
              <w:tabs>
                <w:tab w:val="left" w:pos="641"/>
              </w:tabs>
              <w:spacing w:before="0" w:after="0" w:line="240" w:lineRule="auto"/>
              <w:ind w:firstLine="0"/>
              <w:jc w:val="both"/>
            </w:pPr>
            <w:r>
              <w:rPr>
                <w:color w:val="000000"/>
                <w:lang w:eastAsia="uk-UA" w:bidi="uk-UA"/>
              </w:rPr>
              <w:t>Характеристика поточного стану навколишнього природного середовища та здоров’я населення і прогнозні зміни цього стану (за адміністративними даними, статистичною інформацією та результатами досліджень), якщо ДДП не буде затверджений</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5</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3.</w:t>
            </w:r>
          </w:p>
        </w:tc>
        <w:tc>
          <w:tcPr>
            <w:tcW w:w="8198" w:type="dxa"/>
          </w:tcPr>
          <w:p w:rsidR="006B0076" w:rsidRPr="00917B48" w:rsidRDefault="006B0076" w:rsidP="007D6279">
            <w:pPr>
              <w:pStyle w:val="20"/>
              <w:shd w:val="clear" w:color="auto" w:fill="auto"/>
              <w:tabs>
                <w:tab w:val="left" w:pos="641"/>
              </w:tabs>
              <w:spacing w:before="0" w:after="0" w:line="240" w:lineRule="auto"/>
              <w:ind w:firstLine="0"/>
              <w:jc w:val="both"/>
            </w:pPr>
            <w:r>
              <w:rPr>
                <w:color w:val="000000"/>
                <w:lang w:eastAsia="uk-UA" w:bidi="uk-UA"/>
              </w:rPr>
              <w:t>Характеристика стану довкілля та умов життєдіяльності і здоров’я людей на територіях, які можуть зазнати впливу</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18</w:t>
            </w:r>
          </w:p>
        </w:tc>
      </w:tr>
      <w:tr w:rsidR="006B0076" w:rsidTr="00681B39">
        <w:trPr>
          <w:trHeight w:val="913"/>
        </w:trPr>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4.</w:t>
            </w:r>
          </w:p>
        </w:tc>
        <w:tc>
          <w:tcPr>
            <w:tcW w:w="8198" w:type="dxa"/>
          </w:tcPr>
          <w:p w:rsidR="006B0076" w:rsidRDefault="006B0076" w:rsidP="007D6279">
            <w:pPr>
              <w:pStyle w:val="20"/>
              <w:shd w:val="clear" w:color="auto" w:fill="auto"/>
              <w:spacing w:before="0" w:after="0" w:line="240" w:lineRule="auto"/>
              <w:ind w:firstLine="0"/>
              <w:jc w:val="both"/>
              <w:rPr>
                <w:color w:val="000000"/>
                <w:lang w:eastAsia="uk-UA" w:bidi="uk-UA"/>
              </w:rPr>
            </w:pPr>
            <w:r>
              <w:rPr>
                <w:color w:val="000000"/>
                <w:lang w:eastAsia="uk-UA" w:bidi="uk-UA"/>
              </w:rPr>
              <w:t>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20</w:t>
            </w:r>
          </w:p>
        </w:tc>
      </w:tr>
      <w:tr w:rsidR="006B0076" w:rsidTr="00681B39">
        <w:trPr>
          <w:trHeight w:val="1589"/>
        </w:trPr>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5.</w:t>
            </w:r>
          </w:p>
        </w:tc>
        <w:tc>
          <w:tcPr>
            <w:tcW w:w="8198" w:type="dxa"/>
          </w:tcPr>
          <w:p w:rsidR="006B0076" w:rsidRPr="006B0076" w:rsidRDefault="006B0076" w:rsidP="007D6279">
            <w:pPr>
              <w:pStyle w:val="20"/>
              <w:shd w:val="clear" w:color="auto" w:fill="auto"/>
              <w:tabs>
                <w:tab w:val="left" w:pos="641"/>
              </w:tabs>
              <w:spacing w:before="0" w:after="0" w:line="240" w:lineRule="auto"/>
              <w:ind w:firstLine="0"/>
              <w:jc w:val="both"/>
            </w:pPr>
            <w:r>
              <w:rPr>
                <w:color w:val="000000"/>
                <w:lang w:eastAsia="uk-UA" w:bidi="uk-UA"/>
              </w:rPr>
              <w:t xml:space="preserve">Зобов’язання у сфері охорони довкілля, у тому числі пов’язані із запобіганням </w:t>
            </w:r>
            <w:r>
              <w:rPr>
                <w:color w:val="000000"/>
                <w:lang w:val="ru-RU" w:eastAsia="ru-RU" w:bidi="ru-RU"/>
              </w:rPr>
              <w:t xml:space="preserve">негативного </w:t>
            </w:r>
            <w:r>
              <w:rPr>
                <w:color w:val="000000"/>
                <w:lang w:eastAsia="uk-UA" w:bidi="uk-UA"/>
              </w:rPr>
              <w:t>впливу на здоров’я населення, встановлені на міжнародному, державному та інших рівнях, що стосуються Програми, а також шляхи врахування таких зобов’язань під час підготовки документа державного планування</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22</w:t>
            </w:r>
          </w:p>
        </w:tc>
      </w:tr>
      <w:tr w:rsidR="006B0076" w:rsidTr="00681B39">
        <w:trPr>
          <w:trHeight w:val="1385"/>
        </w:trPr>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6.</w:t>
            </w:r>
          </w:p>
        </w:tc>
        <w:tc>
          <w:tcPr>
            <w:tcW w:w="8198" w:type="dxa"/>
          </w:tcPr>
          <w:p w:rsidR="006B0076" w:rsidRDefault="00917B48" w:rsidP="007D6279">
            <w:pPr>
              <w:pStyle w:val="20"/>
              <w:shd w:val="clear" w:color="auto" w:fill="auto"/>
              <w:spacing w:before="0" w:after="0" w:line="240" w:lineRule="auto"/>
              <w:ind w:firstLine="0"/>
              <w:jc w:val="both"/>
              <w:rPr>
                <w:color w:val="000000"/>
                <w:lang w:eastAsia="uk-UA" w:bidi="uk-UA"/>
              </w:rPr>
            </w:pPr>
            <w:r>
              <w:rPr>
                <w:color w:val="000000"/>
                <w:lang w:eastAsia="uk-UA" w:bidi="uk-UA"/>
              </w:rPr>
              <w:t xml:space="preserve">Опис наслідків для довкілля, у тому числі для здоров’я населення, у тому числі вторинних, кумулятивних, </w:t>
            </w:r>
            <w:proofErr w:type="spellStart"/>
            <w:r>
              <w:rPr>
                <w:color w:val="000000"/>
                <w:lang w:eastAsia="uk-UA" w:bidi="uk-UA"/>
              </w:rPr>
              <w:t>синергічних</w:t>
            </w:r>
            <w:proofErr w:type="spellEnd"/>
            <w:r>
              <w:rPr>
                <w:color w:val="000000"/>
                <w:lang w:eastAsia="uk-UA" w:bidi="uk-UA"/>
              </w:rPr>
              <w:t xml:space="preserve">, </w:t>
            </w:r>
            <w:proofErr w:type="spellStart"/>
            <w:r>
              <w:rPr>
                <w:color w:val="000000"/>
                <w:lang w:eastAsia="uk-UA" w:bidi="uk-UA"/>
              </w:rPr>
              <w:t>коротко-</w:t>
            </w:r>
            <w:proofErr w:type="spellEnd"/>
            <w:r>
              <w:rPr>
                <w:color w:val="000000"/>
                <w:lang w:eastAsia="uk-UA" w:bidi="uk-UA"/>
              </w:rPr>
              <w:t xml:space="preserve">, </w:t>
            </w:r>
            <w:proofErr w:type="spellStart"/>
            <w:r>
              <w:rPr>
                <w:color w:val="000000"/>
                <w:lang w:eastAsia="uk-UA" w:bidi="uk-UA"/>
              </w:rPr>
              <w:t>середньо-</w:t>
            </w:r>
            <w:proofErr w:type="spellEnd"/>
            <w:r>
              <w:rPr>
                <w:color w:val="000000"/>
                <w:lang w:eastAsia="uk-UA" w:bidi="uk-UA"/>
              </w:rPr>
              <w:t xml:space="preserve"> та довгострокових (1, 3-5 та 10-15 років відповідно, а за необхідності - 50-100 років), постійних і тимчасових, позитивних і негативних наслідків</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23</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7.</w:t>
            </w:r>
          </w:p>
        </w:tc>
        <w:tc>
          <w:tcPr>
            <w:tcW w:w="8198" w:type="dxa"/>
          </w:tcPr>
          <w:p w:rsidR="006B0076" w:rsidRPr="00917B48" w:rsidRDefault="00917B48" w:rsidP="007D6279">
            <w:pPr>
              <w:pStyle w:val="20"/>
              <w:shd w:val="clear" w:color="auto" w:fill="auto"/>
              <w:tabs>
                <w:tab w:val="left" w:pos="641"/>
              </w:tabs>
              <w:spacing w:before="0" w:after="0" w:line="240" w:lineRule="auto"/>
              <w:ind w:firstLine="0"/>
              <w:jc w:val="both"/>
            </w:pPr>
            <w:r>
              <w:rPr>
                <w:color w:val="000000"/>
                <w:lang w:eastAsia="uk-UA" w:bidi="uk-UA"/>
              </w:rPr>
              <w:t>Заходи, що передбачається вжити для запобігання, зменшення та пом’якшення негативних наслідків, зумовлених реалізацією документа державного планування</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24</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8.</w:t>
            </w:r>
          </w:p>
        </w:tc>
        <w:tc>
          <w:tcPr>
            <w:tcW w:w="8198" w:type="dxa"/>
          </w:tcPr>
          <w:p w:rsidR="006B0076" w:rsidRPr="00917B48" w:rsidRDefault="00917B48" w:rsidP="007D6279">
            <w:pPr>
              <w:pStyle w:val="20"/>
              <w:shd w:val="clear" w:color="auto" w:fill="auto"/>
              <w:tabs>
                <w:tab w:val="left" w:pos="641"/>
              </w:tabs>
              <w:spacing w:before="0" w:after="0" w:line="240" w:lineRule="auto"/>
              <w:ind w:firstLine="0"/>
              <w:jc w:val="both"/>
            </w:pPr>
            <w:r>
              <w:rPr>
                <w:color w:val="000000"/>
                <w:lang w:eastAsia="uk-UA" w:bidi="uk-UA"/>
              </w:rPr>
              <w:t>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25</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9.</w:t>
            </w:r>
          </w:p>
        </w:tc>
        <w:tc>
          <w:tcPr>
            <w:tcW w:w="8198" w:type="dxa"/>
          </w:tcPr>
          <w:p w:rsidR="006B0076" w:rsidRDefault="00917B48" w:rsidP="007D6279">
            <w:pPr>
              <w:pStyle w:val="20"/>
              <w:shd w:val="clear" w:color="auto" w:fill="auto"/>
              <w:spacing w:before="0" w:after="0" w:line="240" w:lineRule="auto"/>
              <w:ind w:firstLine="0"/>
              <w:jc w:val="both"/>
              <w:rPr>
                <w:color w:val="000000"/>
                <w:lang w:eastAsia="uk-UA" w:bidi="uk-UA"/>
              </w:rPr>
            </w:pPr>
            <w:r>
              <w:rPr>
                <w:color w:val="000000"/>
                <w:lang w:eastAsia="uk-UA" w:bidi="uk-UA"/>
              </w:rPr>
              <w:t xml:space="preserve">Заходи, передбачені для здійснення моніторингу наслідків виконання документа </w:t>
            </w:r>
            <w:r>
              <w:rPr>
                <w:color w:val="000000"/>
                <w:lang w:val="ru-RU" w:eastAsia="ru-RU" w:bidi="ru-RU"/>
              </w:rPr>
              <w:t xml:space="preserve">державного </w:t>
            </w:r>
            <w:r>
              <w:rPr>
                <w:color w:val="000000"/>
                <w:lang w:eastAsia="uk-UA" w:bidi="uk-UA"/>
              </w:rPr>
              <w:t>планування, у тому числі для здоров’я населення</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26</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10.</w:t>
            </w:r>
          </w:p>
        </w:tc>
        <w:tc>
          <w:tcPr>
            <w:tcW w:w="8198" w:type="dxa"/>
          </w:tcPr>
          <w:p w:rsidR="006B0076" w:rsidRDefault="00917B48" w:rsidP="007D6279">
            <w:pPr>
              <w:pStyle w:val="20"/>
              <w:shd w:val="clear" w:color="auto" w:fill="auto"/>
              <w:spacing w:before="0" w:after="0" w:line="240" w:lineRule="auto"/>
              <w:ind w:firstLine="0"/>
              <w:jc w:val="both"/>
              <w:rPr>
                <w:color w:val="000000"/>
                <w:lang w:eastAsia="uk-UA" w:bidi="uk-UA"/>
              </w:rPr>
            </w:pPr>
            <w:r>
              <w:rPr>
                <w:color w:val="000000"/>
                <w:lang w:eastAsia="uk-UA" w:bidi="uk-UA"/>
              </w:rPr>
              <w:t>Опис ймовірних транскордонних наслідків для довкілля, у тому числі для здоров’я населення (за наявності)</w:t>
            </w: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27</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r>
              <w:rPr>
                <w:color w:val="000000"/>
                <w:lang w:eastAsia="uk-UA" w:bidi="uk-UA"/>
              </w:rPr>
              <w:t>11.</w:t>
            </w:r>
          </w:p>
        </w:tc>
        <w:tc>
          <w:tcPr>
            <w:tcW w:w="8198" w:type="dxa"/>
          </w:tcPr>
          <w:p w:rsidR="006B0076" w:rsidRDefault="00917B48" w:rsidP="007D6279">
            <w:pPr>
              <w:pStyle w:val="20"/>
              <w:shd w:val="clear" w:color="auto" w:fill="auto"/>
              <w:spacing w:before="0" w:after="0" w:line="240" w:lineRule="auto"/>
              <w:ind w:firstLine="0"/>
              <w:jc w:val="both"/>
              <w:rPr>
                <w:color w:val="000000"/>
                <w:lang w:eastAsia="uk-UA" w:bidi="uk-UA"/>
              </w:rPr>
            </w:pPr>
            <w:r>
              <w:rPr>
                <w:color w:val="000000"/>
                <w:lang w:eastAsia="uk-UA" w:bidi="uk-UA"/>
              </w:rPr>
              <w:t>Резюме нетехнічного характеру інформації, передбаченої пунктами 1-10 цієї частини, розраховане на широку аудиторію</w:t>
            </w:r>
          </w:p>
          <w:p w:rsidR="00681B39" w:rsidRDefault="00681B39" w:rsidP="007D6279">
            <w:pPr>
              <w:pStyle w:val="20"/>
              <w:shd w:val="clear" w:color="auto" w:fill="auto"/>
              <w:spacing w:before="0" w:after="0" w:line="240" w:lineRule="auto"/>
              <w:ind w:firstLine="0"/>
              <w:jc w:val="both"/>
              <w:rPr>
                <w:color w:val="000000"/>
                <w:lang w:eastAsia="uk-UA" w:bidi="uk-UA"/>
              </w:rPr>
            </w:pPr>
          </w:p>
        </w:tc>
        <w:tc>
          <w:tcPr>
            <w:tcW w:w="709" w:type="dxa"/>
          </w:tcPr>
          <w:p w:rsidR="006B0076" w:rsidRDefault="00CC1698" w:rsidP="006B0076">
            <w:pPr>
              <w:pStyle w:val="20"/>
              <w:shd w:val="clear" w:color="auto" w:fill="auto"/>
              <w:spacing w:before="0" w:after="184" w:line="280" w:lineRule="exact"/>
              <w:ind w:firstLine="0"/>
              <w:rPr>
                <w:color w:val="000000"/>
                <w:lang w:eastAsia="uk-UA" w:bidi="uk-UA"/>
              </w:rPr>
            </w:pPr>
            <w:r>
              <w:rPr>
                <w:color w:val="000000"/>
                <w:lang w:eastAsia="uk-UA" w:bidi="uk-UA"/>
              </w:rPr>
              <w:t>27</w:t>
            </w: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p>
        </w:tc>
        <w:tc>
          <w:tcPr>
            <w:tcW w:w="8198" w:type="dxa"/>
          </w:tcPr>
          <w:p w:rsidR="006B0076" w:rsidRDefault="00917B48" w:rsidP="00681B39">
            <w:pPr>
              <w:pStyle w:val="20"/>
              <w:shd w:val="clear" w:color="auto" w:fill="auto"/>
              <w:spacing w:before="0" w:after="0" w:line="280" w:lineRule="exact"/>
              <w:ind w:firstLine="0"/>
              <w:rPr>
                <w:color w:val="000000"/>
                <w:lang w:eastAsia="uk-UA" w:bidi="uk-UA"/>
              </w:rPr>
            </w:pPr>
            <w:r w:rsidRPr="00917B48">
              <w:rPr>
                <w:color w:val="000000"/>
                <w:lang w:eastAsia="uk-UA" w:bidi="uk-UA"/>
              </w:rPr>
              <w:t>СПИСОК ВИКОРИСТАНОЇ ЛІТЕРАТУРИ</w:t>
            </w:r>
          </w:p>
        </w:tc>
        <w:tc>
          <w:tcPr>
            <w:tcW w:w="709" w:type="dxa"/>
          </w:tcPr>
          <w:p w:rsidR="006B0076" w:rsidRDefault="006B0076" w:rsidP="006B0076">
            <w:pPr>
              <w:pStyle w:val="20"/>
              <w:shd w:val="clear" w:color="auto" w:fill="auto"/>
              <w:spacing w:before="0" w:after="184" w:line="280" w:lineRule="exact"/>
              <w:ind w:firstLine="0"/>
              <w:rPr>
                <w:color w:val="000000"/>
                <w:lang w:eastAsia="uk-UA" w:bidi="uk-UA"/>
              </w:rPr>
            </w:pPr>
          </w:p>
        </w:tc>
      </w:tr>
      <w:tr w:rsidR="006B0076" w:rsidTr="00681B39">
        <w:tc>
          <w:tcPr>
            <w:tcW w:w="566" w:type="dxa"/>
          </w:tcPr>
          <w:p w:rsidR="006B0076" w:rsidRDefault="006B0076" w:rsidP="006B0076">
            <w:pPr>
              <w:pStyle w:val="20"/>
              <w:shd w:val="clear" w:color="auto" w:fill="auto"/>
              <w:spacing w:before="0" w:after="184" w:line="280" w:lineRule="exact"/>
              <w:ind w:firstLine="0"/>
              <w:rPr>
                <w:color w:val="000000"/>
                <w:lang w:eastAsia="uk-UA" w:bidi="uk-UA"/>
              </w:rPr>
            </w:pPr>
          </w:p>
        </w:tc>
        <w:tc>
          <w:tcPr>
            <w:tcW w:w="8198" w:type="dxa"/>
          </w:tcPr>
          <w:p w:rsidR="006B0076" w:rsidRDefault="006B0076" w:rsidP="00681B39">
            <w:pPr>
              <w:pStyle w:val="20"/>
              <w:shd w:val="clear" w:color="auto" w:fill="auto"/>
              <w:spacing w:before="0" w:after="0" w:line="280" w:lineRule="exact"/>
              <w:ind w:firstLine="0"/>
              <w:rPr>
                <w:color w:val="000000"/>
                <w:lang w:eastAsia="uk-UA" w:bidi="uk-UA"/>
              </w:rPr>
            </w:pPr>
          </w:p>
        </w:tc>
        <w:tc>
          <w:tcPr>
            <w:tcW w:w="709" w:type="dxa"/>
          </w:tcPr>
          <w:p w:rsidR="006B0076" w:rsidRDefault="006B0076" w:rsidP="006B0076">
            <w:pPr>
              <w:pStyle w:val="20"/>
              <w:shd w:val="clear" w:color="auto" w:fill="auto"/>
              <w:spacing w:before="0" w:after="184" w:line="280" w:lineRule="exact"/>
              <w:ind w:firstLine="0"/>
              <w:rPr>
                <w:color w:val="000000"/>
                <w:lang w:eastAsia="uk-UA" w:bidi="uk-UA"/>
              </w:rPr>
            </w:pPr>
          </w:p>
        </w:tc>
      </w:tr>
    </w:tbl>
    <w:p w:rsidR="006B0076" w:rsidRDefault="006B0076" w:rsidP="0051073A">
      <w:pPr>
        <w:spacing w:after="0" w:line="240" w:lineRule="auto"/>
        <w:ind w:firstLine="567"/>
        <w:jc w:val="center"/>
        <w:rPr>
          <w:rFonts w:ascii="Times New Roman" w:hAnsi="Times New Roman" w:cs="Times New Roman"/>
          <w:sz w:val="28"/>
        </w:rPr>
      </w:pPr>
    </w:p>
    <w:p w:rsidR="00073A3B" w:rsidRDefault="00073A3B" w:rsidP="0051073A">
      <w:pPr>
        <w:spacing w:after="0" w:line="240" w:lineRule="auto"/>
        <w:ind w:firstLine="567"/>
        <w:jc w:val="center"/>
        <w:rPr>
          <w:rFonts w:ascii="Times New Roman" w:hAnsi="Times New Roman" w:cs="Times New Roman"/>
          <w:sz w:val="28"/>
        </w:rPr>
      </w:pPr>
    </w:p>
    <w:p w:rsidR="00073A3B" w:rsidRPr="00CE3123" w:rsidRDefault="00073A3B" w:rsidP="00073A3B">
      <w:pPr>
        <w:spacing w:after="0" w:line="240" w:lineRule="auto"/>
        <w:ind w:firstLine="567"/>
        <w:jc w:val="center"/>
        <w:rPr>
          <w:rFonts w:ascii="Times New Roman" w:hAnsi="Times New Roman" w:cs="Times New Roman"/>
          <w:b/>
          <w:sz w:val="28"/>
        </w:rPr>
      </w:pPr>
      <w:r w:rsidRPr="00CE3123">
        <w:rPr>
          <w:rFonts w:ascii="Times New Roman" w:hAnsi="Times New Roman" w:cs="Times New Roman"/>
          <w:b/>
          <w:sz w:val="28"/>
        </w:rPr>
        <w:lastRenderedPageBreak/>
        <w:t>ВСТУП</w:t>
      </w:r>
    </w:p>
    <w:p w:rsidR="00073A3B" w:rsidRPr="00073A3B" w:rsidRDefault="00073A3B" w:rsidP="00073A3B">
      <w:pPr>
        <w:spacing w:after="0" w:line="240" w:lineRule="auto"/>
        <w:ind w:firstLine="567"/>
        <w:jc w:val="center"/>
        <w:rPr>
          <w:rFonts w:ascii="Times New Roman" w:hAnsi="Times New Roman" w:cs="Times New Roman"/>
          <w:sz w:val="28"/>
        </w:rPr>
      </w:pPr>
    </w:p>
    <w:p w:rsidR="00073A3B" w:rsidRPr="00073A3B" w:rsidRDefault="00073A3B" w:rsidP="00073A3B">
      <w:pPr>
        <w:spacing w:after="0" w:line="240" w:lineRule="auto"/>
        <w:ind w:firstLine="567"/>
        <w:jc w:val="both"/>
        <w:rPr>
          <w:rFonts w:ascii="Times New Roman" w:hAnsi="Times New Roman" w:cs="Times New Roman"/>
          <w:sz w:val="28"/>
        </w:rPr>
      </w:pPr>
      <w:r w:rsidRPr="00073A3B">
        <w:rPr>
          <w:rFonts w:ascii="Times New Roman" w:hAnsi="Times New Roman" w:cs="Times New Roman"/>
          <w:sz w:val="28"/>
        </w:rPr>
        <w:t>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в процесах планування та прийняття управлінських рішень щодо соціально-економічного розвитку регіонів і населених пунктів.</w:t>
      </w:r>
    </w:p>
    <w:p w:rsidR="00073A3B" w:rsidRPr="00EB51C2" w:rsidRDefault="00073A3B" w:rsidP="00EB51C2">
      <w:pPr>
        <w:spacing w:after="0" w:line="240" w:lineRule="auto"/>
        <w:ind w:firstLine="567"/>
        <w:jc w:val="both"/>
        <w:rPr>
          <w:rFonts w:ascii="Times New Roman" w:hAnsi="Times New Roman" w:cs="Times New Roman"/>
          <w:sz w:val="28"/>
        </w:rPr>
      </w:pPr>
      <w:r w:rsidRPr="00073A3B">
        <w:rPr>
          <w:rFonts w:ascii="Times New Roman" w:hAnsi="Times New Roman" w:cs="Times New Roman"/>
          <w:sz w:val="28"/>
        </w:rPr>
        <w:t xml:space="preserve">Стратегічна екологічна оцінка стратегій, планів і схем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стратегічного планування. Стратегічна екологічна оцінка (СЕО) </w:t>
      </w:r>
      <w:r w:rsidR="00EB51C2">
        <w:rPr>
          <w:rFonts w:ascii="Times New Roman" w:hAnsi="Times New Roman" w:cs="Times New Roman"/>
          <w:sz w:val="28"/>
        </w:rPr>
        <w:t>–</w:t>
      </w:r>
      <w:r w:rsidRPr="00073A3B">
        <w:rPr>
          <w:rFonts w:ascii="Times New Roman" w:hAnsi="Times New Roman" w:cs="Times New Roman"/>
          <w:sz w:val="28"/>
        </w:rPr>
        <w:t xml:space="preserve">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w:t>
      </w:r>
    </w:p>
    <w:p w:rsidR="00073A3B" w:rsidRPr="00073A3B" w:rsidRDefault="00073A3B" w:rsidP="00073A3B">
      <w:pPr>
        <w:spacing w:after="0" w:line="240" w:lineRule="auto"/>
        <w:ind w:firstLine="567"/>
        <w:jc w:val="both"/>
        <w:rPr>
          <w:rFonts w:ascii="Times New Roman" w:hAnsi="Times New Roman" w:cs="Times New Roman"/>
          <w:sz w:val="28"/>
        </w:rPr>
      </w:pPr>
      <w:r w:rsidRPr="00073A3B">
        <w:rPr>
          <w:rFonts w:ascii="Times New Roman" w:hAnsi="Times New Roman" w:cs="Times New Roman"/>
          <w:sz w:val="28"/>
        </w:rPr>
        <w:t>Метою стратегічної екологічної оцінки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w:t>
      </w:r>
    </w:p>
    <w:p w:rsidR="00073A3B" w:rsidRDefault="00073A3B" w:rsidP="00073A3B">
      <w:pPr>
        <w:spacing w:after="0" w:line="240" w:lineRule="auto"/>
        <w:ind w:firstLine="567"/>
        <w:jc w:val="both"/>
        <w:rPr>
          <w:rFonts w:ascii="Times New Roman" w:hAnsi="Times New Roman" w:cs="Times New Roman"/>
          <w:sz w:val="28"/>
        </w:rPr>
      </w:pPr>
      <w:r w:rsidRPr="00073A3B">
        <w:rPr>
          <w:rFonts w:ascii="Times New Roman" w:hAnsi="Times New Roman" w:cs="Times New Roman"/>
          <w:sz w:val="28"/>
        </w:rPr>
        <w:t xml:space="preserve">Проведення стратегічної екологічної оцінки (СЕО) застосовується як системний процес для всебічного оцінювання на етапі планування </w:t>
      </w:r>
      <w:proofErr w:type="spellStart"/>
      <w:r w:rsidRPr="00073A3B">
        <w:rPr>
          <w:rFonts w:ascii="Times New Roman" w:hAnsi="Times New Roman" w:cs="Times New Roman"/>
          <w:sz w:val="28"/>
        </w:rPr>
        <w:t>про</w:t>
      </w:r>
      <w:r w:rsidR="00EB51C2">
        <w:rPr>
          <w:rFonts w:ascii="Times New Roman" w:hAnsi="Times New Roman" w:cs="Times New Roman"/>
          <w:sz w:val="28"/>
        </w:rPr>
        <w:t>є</w:t>
      </w:r>
      <w:r w:rsidRPr="00073A3B">
        <w:rPr>
          <w:rFonts w:ascii="Times New Roman" w:hAnsi="Times New Roman" w:cs="Times New Roman"/>
          <w:sz w:val="28"/>
        </w:rPr>
        <w:t>кту</w:t>
      </w:r>
      <w:proofErr w:type="spellEnd"/>
      <w:r w:rsidRPr="00073A3B">
        <w:rPr>
          <w:rFonts w:ascii="Times New Roman" w:hAnsi="Times New Roman" w:cs="Times New Roman"/>
          <w:sz w:val="28"/>
        </w:rPr>
        <w:t xml:space="preserve"> документу державного планування, що передбачає визначення можливих негативних наслідків реалізації </w:t>
      </w:r>
      <w:proofErr w:type="spellStart"/>
      <w:r w:rsidRPr="00073A3B">
        <w:rPr>
          <w:rFonts w:ascii="Times New Roman" w:hAnsi="Times New Roman" w:cs="Times New Roman"/>
          <w:sz w:val="28"/>
        </w:rPr>
        <w:t>про</w:t>
      </w:r>
      <w:r w:rsidR="00EB51C2">
        <w:rPr>
          <w:rFonts w:ascii="Times New Roman" w:hAnsi="Times New Roman" w:cs="Times New Roman"/>
          <w:sz w:val="28"/>
        </w:rPr>
        <w:t>є</w:t>
      </w:r>
      <w:r w:rsidRPr="00073A3B">
        <w:rPr>
          <w:rFonts w:ascii="Times New Roman" w:hAnsi="Times New Roman" w:cs="Times New Roman"/>
          <w:sz w:val="28"/>
        </w:rPr>
        <w:t>кту</w:t>
      </w:r>
      <w:proofErr w:type="spellEnd"/>
      <w:r w:rsidRPr="00073A3B">
        <w:rPr>
          <w:rFonts w:ascii="Times New Roman" w:hAnsi="Times New Roman" w:cs="Times New Roman"/>
          <w:sz w:val="28"/>
        </w:rPr>
        <w:t xml:space="preserve">, розгляд в разі потреби можливих альтернатив реалізації </w:t>
      </w:r>
      <w:r w:rsidR="00EB51C2">
        <w:rPr>
          <w:rFonts w:ascii="Times New Roman" w:hAnsi="Times New Roman" w:cs="Times New Roman"/>
          <w:sz w:val="28"/>
        </w:rPr>
        <w:t xml:space="preserve">його </w:t>
      </w:r>
      <w:r w:rsidRPr="00073A3B">
        <w:rPr>
          <w:rFonts w:ascii="Times New Roman" w:hAnsi="Times New Roman" w:cs="Times New Roman"/>
          <w:sz w:val="28"/>
        </w:rPr>
        <w:t>цілей, визначення заходів з пом’якшення негативних наслідків та їх інтеграцію до документу державного планування</w:t>
      </w:r>
      <w:r w:rsidR="009C366E">
        <w:rPr>
          <w:rFonts w:ascii="Times New Roman" w:hAnsi="Times New Roman" w:cs="Times New Roman"/>
          <w:sz w:val="28"/>
        </w:rPr>
        <w:t>.</w:t>
      </w: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073A3B">
      <w:pPr>
        <w:spacing w:after="0" w:line="240" w:lineRule="auto"/>
        <w:ind w:firstLine="567"/>
        <w:jc w:val="both"/>
        <w:rPr>
          <w:rFonts w:ascii="Times New Roman" w:hAnsi="Times New Roman" w:cs="Times New Roman"/>
          <w:sz w:val="28"/>
        </w:rPr>
      </w:pPr>
    </w:p>
    <w:p w:rsidR="00073A3B" w:rsidRDefault="00073A3B" w:rsidP="00B17156">
      <w:pPr>
        <w:pStyle w:val="a8"/>
        <w:numPr>
          <w:ilvl w:val="0"/>
          <w:numId w:val="2"/>
        </w:numPr>
        <w:spacing w:after="0" w:line="240" w:lineRule="auto"/>
        <w:ind w:left="0" w:firstLine="567"/>
        <w:jc w:val="both"/>
        <w:rPr>
          <w:rFonts w:ascii="Times New Roman" w:hAnsi="Times New Roman" w:cs="Times New Roman"/>
          <w:b/>
          <w:bCs/>
          <w:sz w:val="28"/>
        </w:rPr>
      </w:pPr>
      <w:r w:rsidRPr="00073A3B">
        <w:rPr>
          <w:rFonts w:ascii="Times New Roman" w:hAnsi="Times New Roman" w:cs="Times New Roman"/>
          <w:b/>
          <w:bCs/>
          <w:sz w:val="28"/>
        </w:rPr>
        <w:lastRenderedPageBreak/>
        <w:t>Зміст та основні цілі документа державного планування (ДДП), його зв'язок з іншими ДДП.</w:t>
      </w:r>
    </w:p>
    <w:p w:rsidR="00073A3B" w:rsidRPr="00073A3B" w:rsidRDefault="00073A3B" w:rsidP="00073A3B">
      <w:pPr>
        <w:pStyle w:val="a8"/>
        <w:spacing w:after="0" w:line="240" w:lineRule="auto"/>
        <w:ind w:left="927"/>
        <w:rPr>
          <w:rFonts w:ascii="Times New Roman" w:hAnsi="Times New Roman" w:cs="Times New Roman"/>
          <w:b/>
          <w:bCs/>
          <w:sz w:val="28"/>
        </w:rPr>
      </w:pPr>
    </w:p>
    <w:p w:rsidR="00073A3B" w:rsidRDefault="00596299" w:rsidP="00596299">
      <w:pPr>
        <w:spacing w:after="0" w:line="240" w:lineRule="auto"/>
        <w:ind w:firstLine="567"/>
        <w:jc w:val="both"/>
        <w:rPr>
          <w:rFonts w:ascii="Times New Roman" w:hAnsi="Times New Roman" w:cs="Times New Roman"/>
          <w:sz w:val="28"/>
        </w:rPr>
      </w:pPr>
      <w:r w:rsidRPr="00596299">
        <w:rPr>
          <w:rFonts w:ascii="Times New Roman" w:hAnsi="Times New Roman" w:cs="Times New Roman"/>
          <w:sz w:val="28"/>
        </w:rPr>
        <w:t>Регіональна програма «</w:t>
      </w:r>
      <w:r>
        <w:rPr>
          <w:rFonts w:ascii="Times New Roman" w:hAnsi="Times New Roman" w:cs="Times New Roman"/>
          <w:sz w:val="28"/>
        </w:rPr>
        <w:t>Питна вода Луганщини</w:t>
      </w:r>
      <w:r w:rsidRPr="00596299">
        <w:rPr>
          <w:rFonts w:ascii="Times New Roman" w:hAnsi="Times New Roman" w:cs="Times New Roman"/>
          <w:sz w:val="28"/>
        </w:rPr>
        <w:t>» на 20</w:t>
      </w:r>
      <w:r>
        <w:rPr>
          <w:rFonts w:ascii="Times New Roman" w:hAnsi="Times New Roman" w:cs="Times New Roman"/>
          <w:sz w:val="28"/>
        </w:rPr>
        <w:t>21</w:t>
      </w:r>
      <w:r w:rsidRPr="00596299">
        <w:rPr>
          <w:rFonts w:ascii="Times New Roman" w:hAnsi="Times New Roman" w:cs="Times New Roman"/>
          <w:sz w:val="28"/>
        </w:rPr>
        <w:t>-202</w:t>
      </w:r>
      <w:r>
        <w:rPr>
          <w:rFonts w:ascii="Times New Roman" w:hAnsi="Times New Roman" w:cs="Times New Roman"/>
          <w:sz w:val="28"/>
        </w:rPr>
        <w:t>4</w:t>
      </w:r>
      <w:r w:rsidRPr="00596299">
        <w:rPr>
          <w:rFonts w:ascii="Times New Roman" w:hAnsi="Times New Roman" w:cs="Times New Roman"/>
          <w:sz w:val="28"/>
        </w:rPr>
        <w:t xml:space="preserve"> роки (далі </w:t>
      </w:r>
      <w:r>
        <w:rPr>
          <w:rFonts w:ascii="Times New Roman" w:hAnsi="Times New Roman" w:cs="Times New Roman"/>
          <w:sz w:val="28"/>
        </w:rPr>
        <w:t>–</w:t>
      </w:r>
      <w:r w:rsidRPr="00596299">
        <w:rPr>
          <w:rFonts w:ascii="Times New Roman" w:hAnsi="Times New Roman" w:cs="Times New Roman"/>
          <w:sz w:val="28"/>
        </w:rPr>
        <w:t xml:space="preserve"> Програма) визначає </w:t>
      </w:r>
      <w:r>
        <w:rPr>
          <w:rFonts w:ascii="Times New Roman" w:hAnsi="Times New Roman" w:cs="Times New Roman"/>
          <w:sz w:val="28"/>
        </w:rPr>
        <w:t>комплекс</w:t>
      </w:r>
      <w:r w:rsidRPr="00596299">
        <w:rPr>
          <w:rFonts w:ascii="Times New Roman" w:hAnsi="Times New Roman" w:cs="Times New Roman"/>
          <w:sz w:val="28"/>
        </w:rPr>
        <w:t xml:space="preserve"> взаємоузгоджених завдань і заходів, </w:t>
      </w:r>
      <w:r>
        <w:rPr>
          <w:rFonts w:ascii="Times New Roman" w:hAnsi="Times New Roman" w:cs="Times New Roman"/>
          <w:sz w:val="28"/>
        </w:rPr>
        <w:t>які</w:t>
      </w:r>
      <w:r w:rsidRPr="00596299">
        <w:rPr>
          <w:rFonts w:ascii="Times New Roman" w:hAnsi="Times New Roman" w:cs="Times New Roman"/>
          <w:sz w:val="28"/>
        </w:rPr>
        <w:t xml:space="preserve"> спрямовані на забезпечення надійної роботи системи централізованого водопостачання та водовідведення </w:t>
      </w:r>
      <w:r>
        <w:rPr>
          <w:rFonts w:ascii="Times New Roman" w:hAnsi="Times New Roman" w:cs="Times New Roman"/>
          <w:sz w:val="28"/>
        </w:rPr>
        <w:t>Луганської</w:t>
      </w:r>
      <w:r w:rsidRPr="00596299">
        <w:rPr>
          <w:rFonts w:ascii="Times New Roman" w:hAnsi="Times New Roman" w:cs="Times New Roman"/>
          <w:sz w:val="28"/>
        </w:rPr>
        <w:t xml:space="preserve"> області.</w:t>
      </w:r>
    </w:p>
    <w:p w:rsidR="00596299" w:rsidRDefault="00596299" w:rsidP="00596299">
      <w:pPr>
        <w:spacing w:after="0" w:line="240" w:lineRule="auto"/>
        <w:ind w:firstLine="567"/>
        <w:jc w:val="both"/>
        <w:rPr>
          <w:rFonts w:ascii="Times New Roman" w:hAnsi="Times New Roman" w:cs="Times New Roman"/>
          <w:sz w:val="28"/>
        </w:rPr>
      </w:pPr>
      <w:r>
        <w:rPr>
          <w:rFonts w:ascii="Times New Roman" w:hAnsi="Times New Roman" w:cs="Times New Roman"/>
          <w:sz w:val="28"/>
        </w:rPr>
        <w:t>За своїм змістом Програма повністю відповідає Порядку розроблення регіональних цільових програм, фінансування, моніторингу та звітності про їх виконання, затвердженого розпорядженням голови обласної адміністрації від 17.03.2007 № 293 (зі змінами).</w:t>
      </w:r>
    </w:p>
    <w:p w:rsidR="00245C79" w:rsidRPr="00245C79" w:rsidRDefault="00245C79" w:rsidP="00245C79">
      <w:pPr>
        <w:spacing w:after="0" w:line="240" w:lineRule="auto"/>
        <w:ind w:firstLine="567"/>
        <w:jc w:val="both"/>
        <w:rPr>
          <w:rFonts w:ascii="Times New Roman" w:hAnsi="Times New Roman" w:cs="Times New Roman"/>
          <w:sz w:val="28"/>
        </w:rPr>
      </w:pPr>
      <w:r w:rsidRPr="00245C79">
        <w:rPr>
          <w:rFonts w:ascii="Times New Roman" w:hAnsi="Times New Roman" w:cs="Times New Roman"/>
          <w:sz w:val="28"/>
        </w:rPr>
        <w:t>Основною метою Програми є покращання забезпечення населення області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підвищення ефективності та надійності її функціонування; відновлення, охорона та раціональне використання джерел питного водопостачання.</w:t>
      </w:r>
    </w:p>
    <w:p w:rsidR="00245C79" w:rsidRDefault="00245C79" w:rsidP="00245C79">
      <w:pPr>
        <w:spacing w:after="0" w:line="240" w:lineRule="auto"/>
        <w:ind w:firstLine="567"/>
        <w:jc w:val="both"/>
        <w:rPr>
          <w:rFonts w:ascii="Times New Roman" w:hAnsi="Times New Roman" w:cs="Times New Roman"/>
          <w:sz w:val="28"/>
        </w:rPr>
      </w:pPr>
      <w:r w:rsidRPr="00245C79">
        <w:rPr>
          <w:rFonts w:ascii="Times New Roman" w:hAnsi="Times New Roman" w:cs="Times New Roman"/>
          <w:sz w:val="28"/>
        </w:rPr>
        <w:t>Крім того, забезпечення відповідності якості очищених стічних вод вимогам чинного законодавства, припинення скидання неочищених стічних вод або таких, що не відповідають гранично допустимому скиду речовин у водні об’єкти є найважливішим фактором, який дозволить значно покращити стан навколишнього природного середовища та санітарно-епідеміологічний стан у населених пунктах області.</w:t>
      </w:r>
    </w:p>
    <w:p w:rsidR="00245C79" w:rsidRDefault="00245C79" w:rsidP="00245C79">
      <w:pPr>
        <w:spacing w:after="0" w:line="240" w:lineRule="auto"/>
        <w:ind w:firstLine="567"/>
        <w:jc w:val="both"/>
        <w:rPr>
          <w:rFonts w:ascii="Times New Roman" w:hAnsi="Times New Roman" w:cs="Times New Roman"/>
          <w:sz w:val="28"/>
        </w:rPr>
      </w:pPr>
      <w:r>
        <w:rPr>
          <w:rFonts w:ascii="Times New Roman" w:hAnsi="Times New Roman" w:cs="Times New Roman"/>
          <w:sz w:val="28"/>
        </w:rPr>
        <w:t>Для досягнення цих цілей заходи Програми розподілене за наступними напрямами:</w:t>
      </w:r>
      <w:r w:rsidR="00EB51C2">
        <w:rPr>
          <w:rFonts w:ascii="Times New Roman" w:hAnsi="Times New Roman" w:cs="Times New Roman"/>
          <w:sz w:val="28"/>
        </w:rPr>
        <w:t xml:space="preserve"> </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1 – підвищення якості питної води, яка подається споживачам;</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2 – збільшення ефективності використання матеріальних і енергетичних ресурсів;</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3 – підвищення надійності роботи системи водопостачання;</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4 – будівництво нових та заміна (реконструкція) наявних трубопроводів у системі водопостачання;</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5 – підвищення якості очищених стічних вод;</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6 – підвищення надійності роботи системи водовідведення;</w:t>
      </w:r>
    </w:p>
    <w:p w:rsidR="00077F8E" w:rsidRP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напрям 7 – будівництво нових та заміна (реконструкція) наявних колекторів і мереж у системі водовідведення;</w:t>
      </w:r>
    </w:p>
    <w:p w:rsid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 xml:space="preserve">напрям 8 – наукове і </w:t>
      </w:r>
      <w:proofErr w:type="spellStart"/>
      <w:r w:rsidRPr="00077F8E">
        <w:rPr>
          <w:rFonts w:ascii="Times New Roman" w:hAnsi="Times New Roman" w:cs="Times New Roman"/>
          <w:sz w:val="28"/>
        </w:rPr>
        <w:t>про</w:t>
      </w:r>
      <w:r>
        <w:rPr>
          <w:rFonts w:ascii="Times New Roman" w:hAnsi="Times New Roman" w:cs="Times New Roman"/>
          <w:sz w:val="28"/>
        </w:rPr>
        <w:t>є</w:t>
      </w:r>
      <w:r w:rsidRPr="00077F8E">
        <w:rPr>
          <w:rFonts w:ascii="Times New Roman" w:hAnsi="Times New Roman" w:cs="Times New Roman"/>
          <w:sz w:val="28"/>
        </w:rPr>
        <w:t>ктне</w:t>
      </w:r>
      <w:proofErr w:type="spellEnd"/>
      <w:r w:rsidRPr="00077F8E">
        <w:rPr>
          <w:rFonts w:ascii="Times New Roman" w:hAnsi="Times New Roman" w:cs="Times New Roman"/>
          <w:sz w:val="28"/>
        </w:rPr>
        <w:t xml:space="preserve"> забезпечення Програми.</w:t>
      </w:r>
    </w:p>
    <w:p w:rsid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Законодавчою та нормативно-правовою основою розроблення Програми є: закони України</w:t>
      </w:r>
      <w:r>
        <w:rPr>
          <w:rFonts w:ascii="Times New Roman" w:hAnsi="Times New Roman" w:cs="Times New Roman"/>
          <w:sz w:val="28"/>
        </w:rPr>
        <w:t xml:space="preserve"> </w:t>
      </w:r>
      <w:r w:rsidRPr="00077F8E">
        <w:rPr>
          <w:rFonts w:ascii="Times New Roman" w:hAnsi="Times New Roman" w:cs="Times New Roman"/>
          <w:sz w:val="28"/>
        </w:rPr>
        <w:t>«Про військово-цивільні адміністрації», «Про питну воду та питне водопостачання», «Про Загальнодержавну цільову програму «Питна вода України» на 2011-2020 роки»</w:t>
      </w:r>
      <w:r>
        <w:rPr>
          <w:rFonts w:ascii="Times New Roman" w:hAnsi="Times New Roman" w:cs="Times New Roman"/>
          <w:sz w:val="28"/>
        </w:rPr>
        <w:t>.</w:t>
      </w:r>
    </w:p>
    <w:p w:rsidR="00077F8E" w:rsidRDefault="00077F8E" w:rsidP="00077F8E">
      <w:pPr>
        <w:spacing w:after="0" w:line="240" w:lineRule="auto"/>
        <w:ind w:firstLine="567"/>
        <w:jc w:val="both"/>
        <w:rPr>
          <w:rFonts w:ascii="Times New Roman" w:hAnsi="Times New Roman" w:cs="Times New Roman"/>
          <w:sz w:val="28"/>
        </w:rPr>
      </w:pPr>
      <w:r w:rsidRPr="00077F8E">
        <w:rPr>
          <w:rFonts w:ascii="Times New Roman" w:hAnsi="Times New Roman" w:cs="Times New Roman"/>
          <w:sz w:val="28"/>
        </w:rPr>
        <w:t xml:space="preserve">З метою забезпечення цілісності системи планування регіонального розвитку </w:t>
      </w:r>
      <w:proofErr w:type="spellStart"/>
      <w:r w:rsidRPr="00077F8E">
        <w:rPr>
          <w:rFonts w:ascii="Times New Roman" w:hAnsi="Times New Roman" w:cs="Times New Roman"/>
          <w:sz w:val="28"/>
        </w:rPr>
        <w:t>проєкт</w:t>
      </w:r>
      <w:proofErr w:type="spellEnd"/>
      <w:r w:rsidRPr="00077F8E">
        <w:rPr>
          <w:rFonts w:ascii="Times New Roman" w:hAnsi="Times New Roman" w:cs="Times New Roman"/>
          <w:sz w:val="28"/>
        </w:rPr>
        <w:t xml:space="preserve"> Програми враховує положення програмних документів, які діють на державному та регіональному рівнях та </w:t>
      </w:r>
      <w:proofErr w:type="spellStart"/>
      <w:r w:rsidRPr="00077F8E">
        <w:rPr>
          <w:rFonts w:ascii="Times New Roman" w:hAnsi="Times New Roman" w:cs="Times New Roman"/>
          <w:sz w:val="28"/>
        </w:rPr>
        <w:t>екосистемний</w:t>
      </w:r>
      <w:proofErr w:type="spellEnd"/>
      <w:r w:rsidRPr="00077F8E">
        <w:rPr>
          <w:rFonts w:ascii="Times New Roman" w:hAnsi="Times New Roman" w:cs="Times New Roman"/>
          <w:sz w:val="28"/>
        </w:rPr>
        <w:t xml:space="preserve"> підхід та удосконалення системи інтегрованого екологічного управління та врахування екологічної </w:t>
      </w:r>
      <w:r w:rsidRPr="00077F8E">
        <w:rPr>
          <w:rFonts w:ascii="Times New Roman" w:hAnsi="Times New Roman" w:cs="Times New Roman"/>
          <w:sz w:val="28"/>
        </w:rPr>
        <w:lastRenderedPageBreak/>
        <w:t>складової під час розроблення та затвердження документів державного планування, які визначені, зокрема:</w:t>
      </w:r>
    </w:p>
    <w:p w:rsidR="00077F8E" w:rsidRDefault="00077F8E" w:rsidP="00077F8E">
      <w:pPr>
        <w:pStyle w:val="a8"/>
        <w:numPr>
          <w:ilvl w:val="0"/>
          <w:numId w:val="3"/>
        </w:numPr>
        <w:spacing w:after="0" w:line="240" w:lineRule="auto"/>
        <w:ind w:left="0" w:firstLine="567"/>
        <w:jc w:val="both"/>
        <w:rPr>
          <w:rFonts w:ascii="Times New Roman" w:hAnsi="Times New Roman" w:cs="Times New Roman"/>
          <w:sz w:val="28"/>
        </w:rPr>
      </w:pPr>
      <w:r>
        <w:rPr>
          <w:rFonts w:ascii="Times New Roman" w:hAnsi="Times New Roman" w:cs="Times New Roman"/>
          <w:sz w:val="28"/>
        </w:rPr>
        <w:t>Державно</w:t>
      </w:r>
      <w:r w:rsidR="0000453E">
        <w:rPr>
          <w:rFonts w:ascii="Times New Roman" w:hAnsi="Times New Roman" w:cs="Times New Roman"/>
          <w:sz w:val="28"/>
          <w:lang w:val="ru-RU"/>
        </w:rPr>
        <w:t>ю</w:t>
      </w:r>
      <w:r>
        <w:rPr>
          <w:rFonts w:ascii="Times New Roman" w:hAnsi="Times New Roman" w:cs="Times New Roman"/>
          <w:sz w:val="28"/>
        </w:rPr>
        <w:t xml:space="preserve"> стратегі</w:t>
      </w:r>
      <w:r w:rsidR="0000453E">
        <w:rPr>
          <w:rFonts w:ascii="Times New Roman" w:hAnsi="Times New Roman" w:cs="Times New Roman"/>
          <w:sz w:val="28"/>
        </w:rPr>
        <w:t>єю</w:t>
      </w:r>
      <w:r w:rsidRPr="00077F8E">
        <w:rPr>
          <w:rFonts w:ascii="Times New Roman" w:hAnsi="Times New Roman" w:cs="Times New Roman"/>
          <w:sz w:val="28"/>
        </w:rPr>
        <w:t xml:space="preserve"> регіонального розвитку на 2021—2027 роки</w:t>
      </w:r>
      <w:r>
        <w:rPr>
          <w:rFonts w:ascii="Times New Roman" w:hAnsi="Times New Roman" w:cs="Times New Roman"/>
          <w:sz w:val="28"/>
        </w:rPr>
        <w:t xml:space="preserve">, </w:t>
      </w:r>
      <w:r w:rsidRPr="00077F8E">
        <w:rPr>
          <w:rFonts w:ascii="Times New Roman" w:hAnsi="Times New Roman" w:cs="Times New Roman"/>
          <w:sz w:val="28"/>
        </w:rPr>
        <w:t>затверджено</w:t>
      </w:r>
      <w:r w:rsidR="00E00D83">
        <w:rPr>
          <w:rFonts w:ascii="Times New Roman" w:hAnsi="Times New Roman" w:cs="Times New Roman"/>
          <w:sz w:val="28"/>
        </w:rPr>
        <w:t>ю</w:t>
      </w:r>
      <w:r w:rsidRPr="00077F8E">
        <w:rPr>
          <w:rFonts w:ascii="Times New Roman" w:hAnsi="Times New Roman" w:cs="Times New Roman"/>
          <w:sz w:val="28"/>
        </w:rPr>
        <w:t xml:space="preserve"> постановою Кабінету Міністрів України від 0</w:t>
      </w:r>
      <w:r>
        <w:rPr>
          <w:rFonts w:ascii="Times New Roman" w:hAnsi="Times New Roman" w:cs="Times New Roman"/>
          <w:sz w:val="28"/>
        </w:rPr>
        <w:t>5</w:t>
      </w:r>
      <w:r w:rsidRPr="00077F8E">
        <w:rPr>
          <w:rFonts w:ascii="Times New Roman" w:hAnsi="Times New Roman" w:cs="Times New Roman"/>
          <w:sz w:val="28"/>
        </w:rPr>
        <w:t xml:space="preserve"> серпня 20</w:t>
      </w:r>
      <w:r>
        <w:rPr>
          <w:rFonts w:ascii="Times New Roman" w:hAnsi="Times New Roman" w:cs="Times New Roman"/>
          <w:sz w:val="28"/>
        </w:rPr>
        <w:t>20</w:t>
      </w:r>
      <w:r w:rsidRPr="00077F8E">
        <w:rPr>
          <w:rFonts w:ascii="Times New Roman" w:hAnsi="Times New Roman" w:cs="Times New Roman"/>
          <w:sz w:val="28"/>
        </w:rPr>
        <w:t xml:space="preserve"> року </w:t>
      </w:r>
      <w:r w:rsidR="00B942EA">
        <w:rPr>
          <w:rFonts w:ascii="Times New Roman" w:hAnsi="Times New Roman" w:cs="Times New Roman"/>
          <w:sz w:val="28"/>
        </w:rPr>
        <w:t xml:space="preserve">     </w:t>
      </w:r>
      <w:r w:rsidRPr="00077F8E">
        <w:rPr>
          <w:rFonts w:ascii="Times New Roman" w:hAnsi="Times New Roman" w:cs="Times New Roman"/>
          <w:sz w:val="28"/>
        </w:rPr>
        <w:t xml:space="preserve">№ </w:t>
      </w:r>
      <w:r>
        <w:rPr>
          <w:rFonts w:ascii="Times New Roman" w:hAnsi="Times New Roman" w:cs="Times New Roman"/>
          <w:sz w:val="28"/>
        </w:rPr>
        <w:t>695;</w:t>
      </w:r>
    </w:p>
    <w:p w:rsidR="00115AC3" w:rsidRDefault="00077F8E" w:rsidP="00077F8E">
      <w:pPr>
        <w:pStyle w:val="a8"/>
        <w:numPr>
          <w:ilvl w:val="0"/>
          <w:numId w:val="3"/>
        </w:numPr>
        <w:spacing w:after="0" w:line="240" w:lineRule="auto"/>
        <w:ind w:left="0" w:firstLine="567"/>
        <w:jc w:val="both"/>
        <w:rPr>
          <w:rFonts w:ascii="Times New Roman" w:hAnsi="Times New Roman" w:cs="Times New Roman"/>
          <w:sz w:val="28"/>
        </w:rPr>
      </w:pPr>
      <w:r w:rsidRPr="00077F8E">
        <w:rPr>
          <w:rFonts w:ascii="Times New Roman" w:hAnsi="Times New Roman" w:cs="Times New Roman"/>
          <w:sz w:val="28"/>
        </w:rPr>
        <w:t>Стратегі</w:t>
      </w:r>
      <w:r w:rsidR="0000453E">
        <w:rPr>
          <w:rFonts w:ascii="Times New Roman" w:hAnsi="Times New Roman" w:cs="Times New Roman"/>
          <w:sz w:val="28"/>
        </w:rPr>
        <w:t>єю</w:t>
      </w:r>
      <w:r w:rsidRPr="00077F8E">
        <w:rPr>
          <w:rFonts w:ascii="Times New Roman" w:hAnsi="Times New Roman" w:cs="Times New Roman"/>
          <w:sz w:val="28"/>
        </w:rPr>
        <w:t xml:space="preserve"> розвитку Луганської області на 2021-2027 роки, затверджен</w:t>
      </w:r>
      <w:r w:rsidR="00115AC3">
        <w:rPr>
          <w:rFonts w:ascii="Times New Roman" w:hAnsi="Times New Roman" w:cs="Times New Roman"/>
          <w:sz w:val="28"/>
        </w:rPr>
        <w:t>о</w:t>
      </w:r>
      <w:r w:rsidR="00E00D83">
        <w:rPr>
          <w:rFonts w:ascii="Times New Roman" w:hAnsi="Times New Roman" w:cs="Times New Roman"/>
          <w:sz w:val="28"/>
        </w:rPr>
        <w:t xml:space="preserve">ю </w:t>
      </w:r>
      <w:r w:rsidRPr="00077F8E">
        <w:rPr>
          <w:rFonts w:ascii="Times New Roman" w:hAnsi="Times New Roman" w:cs="Times New Roman"/>
          <w:sz w:val="28"/>
        </w:rPr>
        <w:t>розпорядженням голови облдержадміністрації – керівника обласної військово-цивільної адміністрації від 25.03.2020 № 246</w:t>
      </w:r>
      <w:r w:rsidR="00115AC3">
        <w:rPr>
          <w:rFonts w:ascii="Times New Roman" w:hAnsi="Times New Roman" w:cs="Times New Roman"/>
          <w:sz w:val="28"/>
        </w:rPr>
        <w:t xml:space="preserve"> (зі змінами);</w:t>
      </w:r>
    </w:p>
    <w:p w:rsidR="00245C79" w:rsidRDefault="00115AC3" w:rsidP="00115AC3">
      <w:pPr>
        <w:pStyle w:val="a8"/>
        <w:numPr>
          <w:ilvl w:val="0"/>
          <w:numId w:val="3"/>
        </w:numPr>
        <w:spacing w:after="0" w:line="240" w:lineRule="auto"/>
        <w:ind w:left="0" w:firstLine="567"/>
        <w:jc w:val="both"/>
        <w:rPr>
          <w:rFonts w:ascii="Times New Roman" w:hAnsi="Times New Roman" w:cs="Times New Roman"/>
          <w:sz w:val="28"/>
        </w:rPr>
      </w:pPr>
      <w:r w:rsidRPr="00115AC3">
        <w:rPr>
          <w:rFonts w:ascii="Times New Roman" w:hAnsi="Times New Roman" w:cs="Times New Roman"/>
          <w:sz w:val="28"/>
        </w:rPr>
        <w:t>План</w:t>
      </w:r>
      <w:r w:rsidR="0000453E">
        <w:rPr>
          <w:rFonts w:ascii="Times New Roman" w:hAnsi="Times New Roman" w:cs="Times New Roman"/>
          <w:sz w:val="28"/>
        </w:rPr>
        <w:t>ом</w:t>
      </w:r>
      <w:r w:rsidRPr="00115AC3">
        <w:rPr>
          <w:rFonts w:ascii="Times New Roman" w:hAnsi="Times New Roman" w:cs="Times New Roman"/>
          <w:sz w:val="28"/>
        </w:rPr>
        <w:t xml:space="preserve"> заходів на 2021‒2023 роки з реалізації Стратегії розвитку Луганської області на 2021–2027 роки</w:t>
      </w:r>
      <w:r>
        <w:rPr>
          <w:rFonts w:ascii="Times New Roman" w:hAnsi="Times New Roman" w:cs="Times New Roman"/>
          <w:sz w:val="28"/>
        </w:rPr>
        <w:t xml:space="preserve">, </w:t>
      </w:r>
      <w:r w:rsidRPr="00077F8E">
        <w:rPr>
          <w:rFonts w:ascii="Times New Roman" w:hAnsi="Times New Roman" w:cs="Times New Roman"/>
          <w:sz w:val="28"/>
        </w:rPr>
        <w:t>затверджен</w:t>
      </w:r>
      <w:r>
        <w:rPr>
          <w:rFonts w:ascii="Times New Roman" w:hAnsi="Times New Roman" w:cs="Times New Roman"/>
          <w:sz w:val="28"/>
        </w:rPr>
        <w:t>ого</w:t>
      </w:r>
      <w:r w:rsidRPr="00077F8E">
        <w:rPr>
          <w:rFonts w:ascii="Times New Roman" w:hAnsi="Times New Roman" w:cs="Times New Roman"/>
          <w:sz w:val="28"/>
        </w:rPr>
        <w:t xml:space="preserve"> розпорядженням голови облдержадміністрації – керівника обласної військово-цивільної адміністрації від </w:t>
      </w:r>
      <w:r>
        <w:rPr>
          <w:rFonts w:ascii="Times New Roman" w:hAnsi="Times New Roman" w:cs="Times New Roman"/>
          <w:sz w:val="28"/>
        </w:rPr>
        <w:t>01.04.2020</w:t>
      </w:r>
      <w:r w:rsidRPr="00077F8E">
        <w:rPr>
          <w:rFonts w:ascii="Times New Roman" w:hAnsi="Times New Roman" w:cs="Times New Roman"/>
          <w:sz w:val="28"/>
        </w:rPr>
        <w:t xml:space="preserve"> № 2</w:t>
      </w:r>
      <w:r>
        <w:rPr>
          <w:rFonts w:ascii="Times New Roman" w:hAnsi="Times New Roman" w:cs="Times New Roman"/>
          <w:sz w:val="28"/>
        </w:rPr>
        <w:t>62.</w:t>
      </w:r>
    </w:p>
    <w:p w:rsidR="00115AC3" w:rsidRPr="00115AC3" w:rsidRDefault="00115AC3" w:rsidP="00115AC3">
      <w:pPr>
        <w:pStyle w:val="a8"/>
        <w:spacing w:after="0" w:line="240" w:lineRule="auto"/>
        <w:ind w:left="0" w:firstLine="567"/>
        <w:jc w:val="both"/>
        <w:rPr>
          <w:rFonts w:ascii="Times New Roman" w:hAnsi="Times New Roman" w:cs="Times New Roman"/>
          <w:sz w:val="28"/>
        </w:rPr>
      </w:pPr>
      <w:r w:rsidRPr="00115AC3">
        <w:rPr>
          <w:rFonts w:ascii="Times New Roman" w:hAnsi="Times New Roman" w:cs="Times New Roman"/>
          <w:sz w:val="28"/>
        </w:rPr>
        <w:t>Враховуючи відсутність методологічно-статистичної бази для прогнозування ситуації по всій території області, розроблення програмних пріоритетів та завдань здійснено по територіях, підконтрольних українській владі.</w:t>
      </w:r>
    </w:p>
    <w:p w:rsidR="00115AC3" w:rsidRDefault="00115AC3" w:rsidP="00115AC3">
      <w:pPr>
        <w:pStyle w:val="a8"/>
        <w:spacing w:after="0" w:line="240" w:lineRule="auto"/>
        <w:ind w:left="0" w:firstLine="567"/>
        <w:jc w:val="both"/>
        <w:rPr>
          <w:rFonts w:ascii="Times New Roman" w:hAnsi="Times New Roman" w:cs="Times New Roman"/>
          <w:sz w:val="28"/>
        </w:rPr>
      </w:pPr>
      <w:r w:rsidRPr="00115AC3">
        <w:rPr>
          <w:rFonts w:ascii="Times New Roman" w:hAnsi="Times New Roman" w:cs="Times New Roman"/>
          <w:sz w:val="28"/>
        </w:rPr>
        <w:t>Процедура СЕО дає можливість оцінити наслідки реалізації Програми на довкілля, у тому числі на здоров’я населення, розробити заходи із запобігання, зменшення та пом’якшення можливих негативних наслідків її здійснення.</w:t>
      </w:r>
    </w:p>
    <w:p w:rsidR="00115AC3" w:rsidRDefault="00115AC3" w:rsidP="00115AC3">
      <w:pPr>
        <w:pStyle w:val="a8"/>
        <w:spacing w:after="0" w:line="240" w:lineRule="auto"/>
        <w:ind w:left="0" w:firstLine="567"/>
        <w:jc w:val="both"/>
        <w:rPr>
          <w:rFonts w:ascii="Times New Roman" w:hAnsi="Times New Roman" w:cs="Times New Roman"/>
          <w:sz w:val="28"/>
        </w:rPr>
      </w:pPr>
    </w:p>
    <w:p w:rsidR="00187BBB" w:rsidRPr="00B17156" w:rsidRDefault="00187BBB" w:rsidP="00B17156">
      <w:pPr>
        <w:pStyle w:val="a8"/>
        <w:numPr>
          <w:ilvl w:val="0"/>
          <w:numId w:val="2"/>
        </w:numPr>
        <w:spacing w:after="0" w:line="240" w:lineRule="auto"/>
        <w:ind w:left="0" w:firstLine="567"/>
        <w:jc w:val="both"/>
        <w:rPr>
          <w:rFonts w:ascii="Times New Roman" w:hAnsi="Times New Roman" w:cs="Times New Roman"/>
          <w:b/>
          <w:sz w:val="28"/>
        </w:rPr>
      </w:pPr>
      <w:r w:rsidRPr="00B17156">
        <w:rPr>
          <w:rFonts w:ascii="Times New Roman" w:hAnsi="Times New Roman" w:cs="Times New Roman"/>
          <w:b/>
          <w:sz w:val="28"/>
        </w:rPr>
        <w:t>Характеристика поточного стану навколишнього природного середовища та здоров’я населення і прогнозні зміни цього стану</w:t>
      </w:r>
      <w:r w:rsidR="00B17156" w:rsidRPr="00B17156">
        <w:rPr>
          <w:rFonts w:ascii="Times New Roman" w:hAnsi="Times New Roman" w:cs="Times New Roman"/>
          <w:b/>
          <w:sz w:val="28"/>
        </w:rPr>
        <w:t xml:space="preserve"> </w:t>
      </w:r>
      <w:r w:rsidRPr="00B17156">
        <w:rPr>
          <w:rFonts w:ascii="Times New Roman" w:hAnsi="Times New Roman" w:cs="Times New Roman"/>
          <w:b/>
          <w:sz w:val="28"/>
        </w:rPr>
        <w:t>(за адміністративними даними, статистичною інформацією та результатами досліджень), якщо ДДП не буде затверджений.</w:t>
      </w:r>
    </w:p>
    <w:p w:rsidR="00187BBB" w:rsidRPr="00187BBB" w:rsidRDefault="00187BBB" w:rsidP="00B17156">
      <w:pPr>
        <w:spacing w:after="0" w:line="240" w:lineRule="auto"/>
        <w:jc w:val="both"/>
        <w:rPr>
          <w:rFonts w:ascii="Times New Roman" w:hAnsi="Times New Roman" w:cs="Times New Roman"/>
          <w:b/>
          <w:sz w:val="28"/>
        </w:rPr>
      </w:pPr>
    </w:p>
    <w:p w:rsidR="00FD0F82" w:rsidRPr="00FD0F82" w:rsidRDefault="00187BBB" w:rsidP="00FD0F82">
      <w:pPr>
        <w:pStyle w:val="a8"/>
        <w:spacing w:after="0" w:line="240" w:lineRule="auto"/>
        <w:ind w:left="0" w:firstLine="567"/>
        <w:jc w:val="both"/>
        <w:rPr>
          <w:rFonts w:ascii="Times New Roman" w:hAnsi="Times New Roman" w:cs="Times New Roman"/>
          <w:sz w:val="28"/>
        </w:rPr>
      </w:pPr>
      <w:r w:rsidRPr="00187BBB">
        <w:rPr>
          <w:rFonts w:ascii="Times New Roman" w:hAnsi="Times New Roman" w:cs="Times New Roman"/>
          <w:sz w:val="28"/>
        </w:rPr>
        <w:t>При аналізі та оцінці поточного стану навколишнього природного середовища були використані статистичні дані та офіційні дані органів виконавчої влади обласного рівня</w:t>
      </w:r>
      <w:r w:rsidR="00FD0F82">
        <w:rPr>
          <w:rFonts w:ascii="Times New Roman" w:hAnsi="Times New Roman" w:cs="Times New Roman"/>
          <w:sz w:val="28"/>
        </w:rPr>
        <w:t>, інших організацій та закладів</w:t>
      </w:r>
      <w:r w:rsidR="00EB51C2">
        <w:rPr>
          <w:rFonts w:ascii="Times New Roman" w:hAnsi="Times New Roman" w:cs="Times New Roman"/>
          <w:sz w:val="28"/>
        </w:rPr>
        <w:t>, а саме</w:t>
      </w:r>
      <w:r w:rsidRPr="00187BBB">
        <w:rPr>
          <w:rFonts w:ascii="Times New Roman" w:hAnsi="Times New Roman" w:cs="Times New Roman"/>
          <w:sz w:val="28"/>
        </w:rPr>
        <w:t>:</w:t>
      </w:r>
      <w:r w:rsidR="00FD0F82" w:rsidRPr="00FD0F82">
        <w:t xml:space="preserve"> </w:t>
      </w:r>
      <w:r w:rsidR="00FD0F82" w:rsidRPr="00FD0F82">
        <w:rPr>
          <w:rFonts w:ascii="Times New Roman" w:hAnsi="Times New Roman" w:cs="Times New Roman"/>
          <w:sz w:val="28"/>
        </w:rPr>
        <w:t xml:space="preserve">Державної екологічної інспекції у Луганській області, Луганської філії державної установи «Інститут охорони ґрунтів України», Головного управління </w:t>
      </w:r>
      <w:proofErr w:type="spellStart"/>
      <w:r w:rsidR="00FD0F82" w:rsidRPr="00FD0F82">
        <w:rPr>
          <w:rFonts w:ascii="Times New Roman" w:hAnsi="Times New Roman" w:cs="Times New Roman"/>
          <w:sz w:val="28"/>
        </w:rPr>
        <w:t>Держгеокадастру</w:t>
      </w:r>
      <w:proofErr w:type="spellEnd"/>
      <w:r w:rsidR="00FD0F82" w:rsidRPr="00FD0F82">
        <w:rPr>
          <w:rFonts w:ascii="Times New Roman" w:hAnsi="Times New Roman" w:cs="Times New Roman"/>
          <w:sz w:val="28"/>
        </w:rPr>
        <w:t xml:space="preserve"> у Луганській області, Головного управління </w:t>
      </w:r>
      <w:proofErr w:type="spellStart"/>
      <w:r w:rsidR="00FD0F82" w:rsidRPr="00FD0F82">
        <w:rPr>
          <w:rFonts w:ascii="Times New Roman" w:hAnsi="Times New Roman" w:cs="Times New Roman"/>
          <w:sz w:val="28"/>
        </w:rPr>
        <w:t>Держпродспоживслужби</w:t>
      </w:r>
      <w:proofErr w:type="spellEnd"/>
      <w:r w:rsidR="00FD0F82" w:rsidRPr="00FD0F82">
        <w:rPr>
          <w:rFonts w:ascii="Times New Roman" w:hAnsi="Times New Roman" w:cs="Times New Roman"/>
          <w:sz w:val="28"/>
        </w:rPr>
        <w:t xml:space="preserve"> в Луганській області,</w:t>
      </w:r>
      <w:r w:rsidR="00FD0F82">
        <w:rPr>
          <w:rFonts w:ascii="Times New Roman" w:hAnsi="Times New Roman" w:cs="Times New Roman"/>
          <w:sz w:val="28"/>
        </w:rPr>
        <w:t xml:space="preserve"> </w:t>
      </w:r>
      <w:r w:rsidR="00FD0F82" w:rsidRPr="00FD0F82">
        <w:rPr>
          <w:rFonts w:ascii="Times New Roman" w:hAnsi="Times New Roman" w:cs="Times New Roman"/>
          <w:sz w:val="28"/>
        </w:rPr>
        <w:t>Луганського обласного управління лісового та мисливського господарства, Управління Державного агентства рибного господарства у Луганській області,</w:t>
      </w:r>
      <w:r w:rsidR="00FD0F82">
        <w:rPr>
          <w:rFonts w:ascii="Times New Roman" w:hAnsi="Times New Roman" w:cs="Times New Roman"/>
          <w:sz w:val="28"/>
        </w:rPr>
        <w:t xml:space="preserve"> </w:t>
      </w:r>
      <w:r w:rsidR="00FD0F82" w:rsidRPr="00FD0F82">
        <w:rPr>
          <w:rFonts w:ascii="Times New Roman" w:hAnsi="Times New Roman" w:cs="Times New Roman"/>
          <w:sz w:val="28"/>
        </w:rPr>
        <w:t>Сіверсько-Донецького басейнового управління водних ресурсів, Луганського обласного центру з гідрометеорології, Східноукраїнського національного університету імені Володимира Даля</w:t>
      </w:r>
      <w:r w:rsidR="00FD0F82">
        <w:rPr>
          <w:rFonts w:ascii="Times New Roman" w:hAnsi="Times New Roman" w:cs="Times New Roman"/>
          <w:sz w:val="28"/>
        </w:rPr>
        <w:t>.</w:t>
      </w:r>
    </w:p>
    <w:p w:rsidR="00187BBB" w:rsidRPr="00187BBB" w:rsidRDefault="00187BBB" w:rsidP="00187BBB">
      <w:pPr>
        <w:pStyle w:val="a8"/>
        <w:spacing w:after="0" w:line="240" w:lineRule="auto"/>
        <w:ind w:left="0" w:firstLine="567"/>
        <w:jc w:val="both"/>
        <w:rPr>
          <w:rFonts w:ascii="Times New Roman" w:hAnsi="Times New Roman" w:cs="Times New Roman"/>
          <w:sz w:val="28"/>
        </w:rPr>
      </w:pPr>
      <w:r w:rsidRPr="00187BBB">
        <w:rPr>
          <w:rFonts w:ascii="Times New Roman" w:hAnsi="Times New Roman" w:cs="Times New Roman"/>
          <w:sz w:val="28"/>
        </w:rPr>
        <w:t>Також в якості джерел інформації були використані:</w:t>
      </w:r>
      <w:r w:rsidR="00FD0F82" w:rsidRPr="00FD0F82">
        <w:t xml:space="preserve"> </w:t>
      </w:r>
      <w:r w:rsidR="00FD0F82" w:rsidRPr="00FD0F82">
        <w:rPr>
          <w:rFonts w:ascii="Times New Roman" w:hAnsi="Times New Roman" w:cs="Times New Roman"/>
          <w:sz w:val="28"/>
        </w:rPr>
        <w:t>екологічний паспорт Луганської області, Регіональн</w:t>
      </w:r>
      <w:r w:rsidR="00FD0F82">
        <w:rPr>
          <w:rFonts w:ascii="Times New Roman" w:hAnsi="Times New Roman" w:cs="Times New Roman"/>
          <w:sz w:val="28"/>
        </w:rPr>
        <w:t>а</w:t>
      </w:r>
      <w:r w:rsidR="00FD0F82" w:rsidRPr="00FD0F82">
        <w:rPr>
          <w:rFonts w:ascii="Times New Roman" w:hAnsi="Times New Roman" w:cs="Times New Roman"/>
          <w:sz w:val="28"/>
        </w:rPr>
        <w:t xml:space="preserve"> доповідь про стан навколишнього природного середовища в Луганській області у 2019 році</w:t>
      </w:r>
      <w:r w:rsidRPr="00187BBB">
        <w:rPr>
          <w:rFonts w:ascii="Times New Roman" w:hAnsi="Times New Roman" w:cs="Times New Roman"/>
          <w:sz w:val="28"/>
        </w:rPr>
        <w:t xml:space="preserve">; офіційні </w:t>
      </w:r>
      <w:proofErr w:type="spellStart"/>
      <w:r w:rsidRPr="00187BBB">
        <w:rPr>
          <w:rFonts w:ascii="Times New Roman" w:hAnsi="Times New Roman" w:cs="Times New Roman"/>
          <w:sz w:val="28"/>
        </w:rPr>
        <w:t>веб-ресурси</w:t>
      </w:r>
      <w:proofErr w:type="spellEnd"/>
      <w:r w:rsidRPr="00187BBB">
        <w:rPr>
          <w:rFonts w:ascii="Times New Roman" w:hAnsi="Times New Roman" w:cs="Times New Roman"/>
          <w:sz w:val="28"/>
        </w:rPr>
        <w:t xml:space="preserve"> державних установ, що є суб’єктами моніторингу стану навколишнього природного середовища.</w:t>
      </w:r>
    </w:p>
    <w:p w:rsidR="00115AC3" w:rsidRDefault="00187BBB" w:rsidP="00187BBB">
      <w:pPr>
        <w:pStyle w:val="a8"/>
        <w:spacing w:after="0" w:line="240" w:lineRule="auto"/>
        <w:ind w:left="0" w:firstLine="567"/>
        <w:jc w:val="both"/>
        <w:rPr>
          <w:rFonts w:ascii="Times New Roman" w:hAnsi="Times New Roman" w:cs="Times New Roman"/>
          <w:sz w:val="28"/>
        </w:rPr>
      </w:pPr>
      <w:r w:rsidRPr="00187BBB">
        <w:rPr>
          <w:rFonts w:ascii="Times New Roman" w:hAnsi="Times New Roman" w:cs="Times New Roman"/>
          <w:sz w:val="28"/>
        </w:rPr>
        <w:t xml:space="preserve">В процесі роботи були проаналізовані дані регіональних галузевих управлінь та відділів, інформація та звіти окремих суб’єктів господарської діяльності. Були оцінені існуючий стан довкілля та його ймовірний стан, якщо </w:t>
      </w:r>
      <w:proofErr w:type="spellStart"/>
      <w:r w:rsidRPr="00187BBB">
        <w:rPr>
          <w:rFonts w:ascii="Times New Roman" w:hAnsi="Times New Roman" w:cs="Times New Roman"/>
          <w:sz w:val="28"/>
        </w:rPr>
        <w:t>про</w:t>
      </w:r>
      <w:r w:rsidR="00FD0F82">
        <w:rPr>
          <w:rFonts w:ascii="Times New Roman" w:hAnsi="Times New Roman" w:cs="Times New Roman"/>
          <w:sz w:val="28"/>
        </w:rPr>
        <w:t>є</w:t>
      </w:r>
      <w:r w:rsidRPr="00187BBB">
        <w:rPr>
          <w:rFonts w:ascii="Times New Roman" w:hAnsi="Times New Roman" w:cs="Times New Roman"/>
          <w:sz w:val="28"/>
        </w:rPr>
        <w:t>кт</w:t>
      </w:r>
      <w:proofErr w:type="spellEnd"/>
      <w:r w:rsidRPr="00187BBB">
        <w:rPr>
          <w:rFonts w:ascii="Times New Roman" w:hAnsi="Times New Roman" w:cs="Times New Roman"/>
          <w:sz w:val="28"/>
        </w:rPr>
        <w:t xml:space="preserve"> державного планування не буде затверджений (варіант нульової альтернативи).</w:t>
      </w:r>
    </w:p>
    <w:p w:rsidR="00B17156" w:rsidRDefault="00B17156" w:rsidP="00B17156">
      <w:pPr>
        <w:pStyle w:val="a8"/>
        <w:numPr>
          <w:ilvl w:val="1"/>
          <w:numId w:val="2"/>
        </w:numPr>
        <w:spacing w:after="0" w:line="240" w:lineRule="auto"/>
        <w:jc w:val="both"/>
        <w:rPr>
          <w:rFonts w:ascii="Times New Roman" w:hAnsi="Times New Roman" w:cs="Times New Roman"/>
          <w:b/>
          <w:sz w:val="28"/>
        </w:rPr>
      </w:pPr>
      <w:r w:rsidRPr="00B17156">
        <w:rPr>
          <w:rFonts w:ascii="Times New Roman" w:hAnsi="Times New Roman" w:cs="Times New Roman"/>
          <w:b/>
          <w:sz w:val="28"/>
        </w:rPr>
        <w:lastRenderedPageBreak/>
        <w:t>Загальна характеристика Луганської області</w:t>
      </w:r>
      <w:r w:rsidR="00154A9E">
        <w:rPr>
          <w:rFonts w:ascii="Times New Roman" w:hAnsi="Times New Roman" w:cs="Times New Roman"/>
          <w:b/>
          <w:sz w:val="28"/>
        </w:rPr>
        <w:t>.</w:t>
      </w:r>
    </w:p>
    <w:p w:rsidR="00B17156" w:rsidRDefault="00B17156" w:rsidP="00B17156">
      <w:pPr>
        <w:pStyle w:val="a8"/>
        <w:spacing w:after="0" w:line="240" w:lineRule="auto"/>
        <w:ind w:left="1287"/>
        <w:rPr>
          <w:rFonts w:ascii="Times New Roman" w:hAnsi="Times New Roman" w:cs="Times New Roman"/>
          <w:b/>
          <w:sz w:val="28"/>
        </w:rPr>
      </w:pP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Луганська область розташована на крайньому сході України у басейні середньої течії річки Сіверський Донець.</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Максимальна відстань з півночі на південь складає 275 км, із заходу на схід - 170 км. Територія області займає площу 26,7 тис. км2 (4,4 % території держави).</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На півночі, сході та півдні межі області співпадають з державним кордоном України. Тут вона межує з Бєлгородською, Воронезькою та Ростовською областями Росії. На південному заході її землі прилягають до Донецької, а на північному заході – до Харківської області України.</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Територія області представляє собою переважно хвилясту рівнину на лівобережній частині долини Сіверського Донця. На півдні розташований Донецький кряж.</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 xml:space="preserve">В лівобережній частині області простягається </w:t>
      </w:r>
      <w:proofErr w:type="spellStart"/>
      <w:r w:rsidRPr="00B17156">
        <w:rPr>
          <w:rFonts w:ascii="Times New Roman" w:hAnsi="Times New Roman" w:cs="Times New Roman"/>
          <w:sz w:val="28"/>
        </w:rPr>
        <w:t>Старобільська</w:t>
      </w:r>
      <w:proofErr w:type="spellEnd"/>
      <w:r w:rsidRPr="00B17156">
        <w:rPr>
          <w:rFonts w:ascii="Times New Roman" w:hAnsi="Times New Roman" w:cs="Times New Roman"/>
          <w:sz w:val="28"/>
        </w:rPr>
        <w:t xml:space="preserve"> рівнина. На крайній півночі в межі області заходять вибалки </w:t>
      </w:r>
      <w:proofErr w:type="spellStart"/>
      <w:r w:rsidRPr="00B17156">
        <w:rPr>
          <w:rFonts w:ascii="Times New Roman" w:hAnsi="Times New Roman" w:cs="Times New Roman"/>
          <w:sz w:val="28"/>
        </w:rPr>
        <w:t>Середньоруського</w:t>
      </w:r>
      <w:proofErr w:type="spellEnd"/>
      <w:r w:rsidRPr="00B17156">
        <w:rPr>
          <w:rFonts w:ascii="Times New Roman" w:hAnsi="Times New Roman" w:cs="Times New Roman"/>
          <w:sz w:val="28"/>
        </w:rPr>
        <w:t xml:space="preserve"> узгір’я. Абсолютні висоти тут поступово знижуються (від 216 до 50 м) на південь і південний захід до долини Сіверського Донця. Вздовж лівого берега ріки тягнеться порівняно неширока (16-18 км) терасова рівнина, вкрита, головним чином пісками, місцями сформованими в дюни.</w:t>
      </w:r>
    </w:p>
    <w:p w:rsid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 xml:space="preserve">Найбільш характерною рисою Донецького кряжа є чергування пагорбкуватих </w:t>
      </w:r>
      <w:proofErr w:type="spellStart"/>
      <w:r w:rsidRPr="00B17156">
        <w:rPr>
          <w:rFonts w:ascii="Times New Roman" w:hAnsi="Times New Roman" w:cs="Times New Roman"/>
          <w:sz w:val="28"/>
        </w:rPr>
        <w:t>водороздільних</w:t>
      </w:r>
      <w:proofErr w:type="spellEnd"/>
      <w:r w:rsidRPr="00B17156">
        <w:rPr>
          <w:rFonts w:ascii="Times New Roman" w:hAnsi="Times New Roman" w:cs="Times New Roman"/>
          <w:sz w:val="28"/>
        </w:rPr>
        <w:t xml:space="preserve"> площин з глибокими крутобережними річковими долинами і сухими балками. Найвища точка – Могила Мечетна – 367 м. В долині рік </w:t>
      </w:r>
      <w:proofErr w:type="spellStart"/>
      <w:r w:rsidRPr="00B17156">
        <w:rPr>
          <w:rFonts w:ascii="Times New Roman" w:hAnsi="Times New Roman" w:cs="Times New Roman"/>
          <w:sz w:val="28"/>
        </w:rPr>
        <w:t>Міуса</w:t>
      </w:r>
      <w:proofErr w:type="spellEnd"/>
      <w:r w:rsidRPr="00B17156">
        <w:rPr>
          <w:rFonts w:ascii="Times New Roman" w:hAnsi="Times New Roman" w:cs="Times New Roman"/>
          <w:sz w:val="28"/>
        </w:rPr>
        <w:t xml:space="preserve"> й </w:t>
      </w:r>
      <w:proofErr w:type="spellStart"/>
      <w:r w:rsidRPr="00B17156">
        <w:rPr>
          <w:rFonts w:ascii="Times New Roman" w:hAnsi="Times New Roman" w:cs="Times New Roman"/>
          <w:sz w:val="28"/>
        </w:rPr>
        <w:t>Нагольної</w:t>
      </w:r>
      <w:proofErr w:type="spellEnd"/>
      <w:r w:rsidRPr="00B17156">
        <w:rPr>
          <w:rFonts w:ascii="Times New Roman" w:hAnsi="Times New Roman" w:cs="Times New Roman"/>
          <w:sz w:val="28"/>
        </w:rPr>
        <w:t xml:space="preserve"> висота Донецького кряжа знижується і східні схили переходять в Приазовську берегову рівнину. Північні схили кряжа поступово знижуються в напрямі до Сіверського Донця.</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 xml:space="preserve">У північній частині поширені чорноземи звичайні </w:t>
      </w:r>
      <w:proofErr w:type="spellStart"/>
      <w:r w:rsidRPr="00B17156">
        <w:rPr>
          <w:rFonts w:ascii="Times New Roman" w:hAnsi="Times New Roman" w:cs="Times New Roman"/>
          <w:sz w:val="28"/>
        </w:rPr>
        <w:t>середньо-</w:t>
      </w:r>
      <w:proofErr w:type="spellEnd"/>
      <w:r w:rsidRPr="00B17156">
        <w:rPr>
          <w:rFonts w:ascii="Times New Roman" w:hAnsi="Times New Roman" w:cs="Times New Roman"/>
          <w:sz w:val="28"/>
        </w:rPr>
        <w:t xml:space="preserve"> та </w:t>
      </w:r>
      <w:r w:rsidR="00267834">
        <w:rPr>
          <w:rFonts w:ascii="Times New Roman" w:hAnsi="Times New Roman" w:cs="Times New Roman"/>
          <w:sz w:val="28"/>
        </w:rPr>
        <w:t>мало гумусні,</w:t>
      </w:r>
      <w:r w:rsidRPr="00B17156">
        <w:rPr>
          <w:rFonts w:ascii="Times New Roman" w:hAnsi="Times New Roman" w:cs="Times New Roman"/>
          <w:sz w:val="28"/>
        </w:rPr>
        <w:t xml:space="preserve"> в південній – чорноземи звичайні </w:t>
      </w:r>
      <w:proofErr w:type="spellStart"/>
      <w:r w:rsidRPr="00B17156">
        <w:rPr>
          <w:rFonts w:ascii="Times New Roman" w:hAnsi="Times New Roman" w:cs="Times New Roman"/>
          <w:sz w:val="28"/>
        </w:rPr>
        <w:t>середньо-</w:t>
      </w:r>
      <w:proofErr w:type="spellEnd"/>
      <w:r w:rsidRPr="00B17156">
        <w:rPr>
          <w:rFonts w:ascii="Times New Roman" w:hAnsi="Times New Roman" w:cs="Times New Roman"/>
          <w:sz w:val="28"/>
        </w:rPr>
        <w:t xml:space="preserve"> та </w:t>
      </w:r>
      <w:proofErr w:type="spellStart"/>
      <w:r w:rsidRPr="00B17156">
        <w:rPr>
          <w:rFonts w:ascii="Times New Roman" w:hAnsi="Times New Roman" w:cs="Times New Roman"/>
          <w:sz w:val="28"/>
        </w:rPr>
        <w:t>малогумусні</w:t>
      </w:r>
      <w:proofErr w:type="spellEnd"/>
      <w:r w:rsidRPr="00B17156">
        <w:rPr>
          <w:rFonts w:ascii="Times New Roman" w:hAnsi="Times New Roman" w:cs="Times New Roman"/>
          <w:sz w:val="28"/>
        </w:rPr>
        <w:t>,</w:t>
      </w:r>
      <w:r>
        <w:rPr>
          <w:rFonts w:ascii="Times New Roman" w:hAnsi="Times New Roman" w:cs="Times New Roman"/>
          <w:sz w:val="28"/>
        </w:rPr>
        <w:t xml:space="preserve"> </w:t>
      </w:r>
      <w:r w:rsidRPr="00B17156">
        <w:rPr>
          <w:rFonts w:ascii="Times New Roman" w:hAnsi="Times New Roman" w:cs="Times New Roman"/>
          <w:sz w:val="28"/>
        </w:rPr>
        <w:t>дернові щебенюваті ґрунти, в долині Сіверського Дінця – чорноземні, дернові піщані ґрунти.</w:t>
      </w:r>
    </w:p>
    <w:p w:rsidR="00B17156" w:rsidRP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 xml:space="preserve">Щорічне формування надземної та підземної маси рослинного походження та її розкладання в умовах недостатньої вологи обумовлюють значну кількість гумусу, глибина якого варіюється від 50 до 130 см. Для Луганської області характерні два типи ландшафтів – степовий та лісовий. Ліса займають 8,6 % території області та розповсюджені вкрай нерівномірно. Основні масиви лісу знаходяться у басейнах річок Сіверський Донець та </w:t>
      </w:r>
      <w:proofErr w:type="spellStart"/>
      <w:r w:rsidRPr="00B17156">
        <w:rPr>
          <w:rFonts w:ascii="Times New Roman" w:hAnsi="Times New Roman" w:cs="Times New Roman"/>
          <w:sz w:val="28"/>
        </w:rPr>
        <w:t>Айдар</w:t>
      </w:r>
      <w:proofErr w:type="spellEnd"/>
      <w:r w:rsidRPr="00B17156">
        <w:rPr>
          <w:rFonts w:ascii="Times New Roman" w:hAnsi="Times New Roman" w:cs="Times New Roman"/>
          <w:sz w:val="28"/>
        </w:rPr>
        <w:t xml:space="preserve"> (</w:t>
      </w:r>
      <w:proofErr w:type="spellStart"/>
      <w:r w:rsidRPr="00B17156">
        <w:rPr>
          <w:rFonts w:ascii="Times New Roman" w:hAnsi="Times New Roman" w:cs="Times New Roman"/>
          <w:sz w:val="28"/>
        </w:rPr>
        <w:t>Кремінський</w:t>
      </w:r>
      <w:proofErr w:type="spellEnd"/>
      <w:r w:rsidRPr="00B17156">
        <w:rPr>
          <w:rFonts w:ascii="Times New Roman" w:hAnsi="Times New Roman" w:cs="Times New Roman"/>
          <w:sz w:val="28"/>
        </w:rPr>
        <w:t xml:space="preserve"> та Станично-Луганський райони). Більш ніж 250 тис. га складають штучні ліси, представлені полезахисними полосами, захисні ліси та зелені смуги навколо крупних міст. Найбільшу площу займають степи, понад 87 % території області.</w:t>
      </w:r>
    </w:p>
    <w:p w:rsidR="00B17156" w:rsidRDefault="00B17156" w:rsidP="00B17156">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Рослинний покрив області має степовий характер. Ліси займають незначну площу, розташовані уздовж річок, на схилах балок та ярів.</w:t>
      </w:r>
    </w:p>
    <w:p w:rsidR="00B17156" w:rsidRPr="00B17156" w:rsidRDefault="00B17156" w:rsidP="00C77019">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Клімат Луганської області помірно континентальний з помітно вираженими посушливо-суховійними явищами. Формується він під впливом порівняно великої кількості сонячної радіації, домінування континентального повітря помірних широт та відстані від океанів та морів та характеризується доволі спекотним літом із посухою та помірно холодною зимою із нестійким сніговим покровом.</w:t>
      </w:r>
    </w:p>
    <w:p w:rsidR="00B17156" w:rsidRPr="00B17156" w:rsidRDefault="00B17156" w:rsidP="00C77019">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lastRenderedPageBreak/>
        <w:t>Середньорічна температура повітря складає 7- 8 ºС. Середня температура найтеплішого місяця (липень) - 21-22 ºС, а найхолоднішого (січень) – - 7 ºС. Максимальна температура влітку сягає 38-40 ºС, а мінімальна в окремі зими – - 35- -40 ºС.</w:t>
      </w:r>
    </w:p>
    <w:p w:rsidR="00B17156" w:rsidRPr="00B17156" w:rsidRDefault="00B17156" w:rsidP="00C77019">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Атмосферні опади випадають в основному у вигляді дощу та розділяються у часі дуже нерівномірно. За рік у середньому випадає 418 - 476 мм опадів.</w:t>
      </w:r>
    </w:p>
    <w:p w:rsidR="00B17156" w:rsidRPr="00B17156" w:rsidRDefault="00B17156" w:rsidP="00C77019">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Сніговий покрив дуже малий. Максимальна потужність 15 - 20 см, а в окремі зими відсутній. Середньо багаторічне промерзання ґрунту складає 0,5 - 0,7 м.</w:t>
      </w:r>
    </w:p>
    <w:p w:rsidR="00B17156" w:rsidRDefault="00B17156" w:rsidP="00C77019">
      <w:pPr>
        <w:pStyle w:val="a8"/>
        <w:spacing w:after="0" w:line="240" w:lineRule="auto"/>
        <w:ind w:left="0" w:firstLine="567"/>
        <w:jc w:val="both"/>
        <w:rPr>
          <w:rFonts w:ascii="Times New Roman" w:hAnsi="Times New Roman" w:cs="Times New Roman"/>
          <w:sz w:val="28"/>
        </w:rPr>
      </w:pPr>
      <w:r w:rsidRPr="00B17156">
        <w:rPr>
          <w:rFonts w:ascii="Times New Roman" w:hAnsi="Times New Roman" w:cs="Times New Roman"/>
          <w:sz w:val="28"/>
        </w:rPr>
        <w:t>Для території характерне частково повторення сильних вітрів східного напрямку. Із східними вітрами влітку пов’язані суховії, а взимку – завірюхи та сніговії.</w:t>
      </w:r>
    </w:p>
    <w:p w:rsidR="00CE3123" w:rsidRDefault="00CE3123" w:rsidP="00C77019">
      <w:pPr>
        <w:pStyle w:val="a8"/>
        <w:spacing w:after="0" w:line="240" w:lineRule="auto"/>
        <w:ind w:left="0" w:firstLine="567"/>
        <w:jc w:val="both"/>
        <w:rPr>
          <w:rFonts w:ascii="Times New Roman" w:hAnsi="Times New Roman" w:cs="Times New Roman"/>
          <w:sz w:val="28"/>
        </w:rPr>
      </w:pPr>
    </w:p>
    <w:p w:rsidR="00CE3123" w:rsidRDefault="00CE3123" w:rsidP="00CE3123">
      <w:pPr>
        <w:pStyle w:val="a8"/>
        <w:numPr>
          <w:ilvl w:val="1"/>
          <w:numId w:val="2"/>
        </w:numPr>
        <w:spacing w:after="0" w:line="240" w:lineRule="auto"/>
        <w:ind w:left="0" w:firstLine="567"/>
        <w:jc w:val="both"/>
        <w:rPr>
          <w:rFonts w:ascii="Times New Roman" w:hAnsi="Times New Roman" w:cs="Times New Roman"/>
          <w:b/>
          <w:sz w:val="28"/>
        </w:rPr>
      </w:pPr>
      <w:r w:rsidRPr="00CE3123">
        <w:rPr>
          <w:rFonts w:ascii="Times New Roman" w:hAnsi="Times New Roman" w:cs="Times New Roman"/>
          <w:b/>
          <w:sz w:val="28"/>
        </w:rPr>
        <w:t>Стан атмосферного повітря</w:t>
      </w:r>
      <w:r w:rsidR="00154A9E">
        <w:rPr>
          <w:rFonts w:ascii="Times New Roman" w:hAnsi="Times New Roman" w:cs="Times New Roman"/>
          <w:b/>
          <w:sz w:val="28"/>
        </w:rPr>
        <w:t>.</w:t>
      </w:r>
    </w:p>
    <w:p w:rsidR="00CE3123" w:rsidRDefault="00CE3123" w:rsidP="00CE3123">
      <w:pPr>
        <w:pStyle w:val="a8"/>
        <w:spacing w:after="0" w:line="240" w:lineRule="auto"/>
        <w:ind w:left="567"/>
        <w:jc w:val="both"/>
        <w:rPr>
          <w:rFonts w:ascii="Times New Roman" w:hAnsi="Times New Roman" w:cs="Times New Roman"/>
          <w:b/>
          <w:sz w:val="28"/>
        </w:rPr>
      </w:pPr>
    </w:p>
    <w:p w:rsidR="00CE3123" w:rsidRDefault="00CE3123" w:rsidP="00CE3123">
      <w:pPr>
        <w:pStyle w:val="a8"/>
        <w:spacing w:after="0" w:line="240" w:lineRule="auto"/>
        <w:ind w:left="0" w:firstLine="567"/>
        <w:jc w:val="both"/>
        <w:rPr>
          <w:rFonts w:ascii="Times New Roman" w:hAnsi="Times New Roman" w:cs="Times New Roman"/>
          <w:sz w:val="28"/>
        </w:rPr>
      </w:pPr>
      <w:r w:rsidRPr="00CE3123">
        <w:rPr>
          <w:rFonts w:ascii="Times New Roman" w:hAnsi="Times New Roman" w:cs="Times New Roman"/>
          <w:sz w:val="28"/>
        </w:rPr>
        <w:t xml:space="preserve">За інформацією Головного управління статистики у Луганській області у 2019 році викиди забруднюючих речовин у атмосферне повітря від стаціонарних джерел забруднення порівняно з 2018 роком зменшились на 20,0 % та становили 37,3 тис. т. Крім того, від стаціонарних джерел забруднення в атмосферне повітря надійшло 2,4 млн. т (на 25,0 % менше порівняно з 2018 роком) </w:t>
      </w:r>
      <w:proofErr w:type="spellStart"/>
      <w:r w:rsidRPr="00CE3123">
        <w:rPr>
          <w:rFonts w:ascii="Times New Roman" w:hAnsi="Times New Roman" w:cs="Times New Roman"/>
          <w:sz w:val="28"/>
        </w:rPr>
        <w:t>діоксиду</w:t>
      </w:r>
      <w:proofErr w:type="spellEnd"/>
      <w:r w:rsidRPr="00CE3123">
        <w:rPr>
          <w:rFonts w:ascii="Times New Roman" w:hAnsi="Times New Roman" w:cs="Times New Roman"/>
          <w:sz w:val="28"/>
        </w:rPr>
        <w:t xml:space="preserve"> вуглецю – основного парникового газу, який впливає на зміну клімату.</w:t>
      </w:r>
    </w:p>
    <w:p w:rsidR="00CE3123" w:rsidRPr="00CE3123" w:rsidRDefault="00CE3123" w:rsidP="00CE3123">
      <w:pPr>
        <w:pStyle w:val="a8"/>
        <w:spacing w:after="0" w:line="240" w:lineRule="auto"/>
        <w:ind w:left="0" w:firstLine="567"/>
        <w:jc w:val="both"/>
        <w:rPr>
          <w:rFonts w:ascii="Times New Roman" w:hAnsi="Times New Roman" w:cs="Times New Roman"/>
          <w:sz w:val="28"/>
        </w:rPr>
      </w:pPr>
      <w:r w:rsidRPr="00CE3123">
        <w:rPr>
          <w:rFonts w:ascii="Times New Roman" w:hAnsi="Times New Roman" w:cs="Times New Roman"/>
          <w:sz w:val="28"/>
        </w:rPr>
        <w:t xml:space="preserve">В складі загального забруднення атмосферного повітря найбільш поширеними забруднюючими речовинами є сірки </w:t>
      </w:r>
      <w:proofErr w:type="spellStart"/>
      <w:r w:rsidRPr="00CE3123">
        <w:rPr>
          <w:rFonts w:ascii="Times New Roman" w:hAnsi="Times New Roman" w:cs="Times New Roman"/>
          <w:sz w:val="28"/>
        </w:rPr>
        <w:t>діоксид</w:t>
      </w:r>
      <w:proofErr w:type="spellEnd"/>
      <w:r w:rsidRPr="00CE3123">
        <w:rPr>
          <w:rFonts w:ascii="Times New Roman" w:hAnsi="Times New Roman" w:cs="Times New Roman"/>
          <w:sz w:val="28"/>
        </w:rPr>
        <w:t>, оксид вуглецю, двоокис азоту, тверді частинки, метан.</w:t>
      </w:r>
    </w:p>
    <w:p w:rsidR="00CE3123" w:rsidRDefault="00CE3123" w:rsidP="00CE3123">
      <w:pPr>
        <w:pStyle w:val="a8"/>
        <w:spacing w:after="0" w:line="240" w:lineRule="auto"/>
        <w:ind w:left="0" w:firstLine="567"/>
        <w:jc w:val="both"/>
        <w:rPr>
          <w:rFonts w:ascii="Times New Roman" w:hAnsi="Times New Roman" w:cs="Times New Roman"/>
          <w:sz w:val="28"/>
        </w:rPr>
      </w:pPr>
      <w:r w:rsidRPr="00CE3123">
        <w:rPr>
          <w:rFonts w:ascii="Times New Roman" w:hAnsi="Times New Roman" w:cs="Times New Roman"/>
          <w:sz w:val="28"/>
        </w:rPr>
        <w:t xml:space="preserve">На території області найбільшими забруднювачами довкілля (в контексті найбільшого впливу на стан повітряного басейну міст) є: ВП «Луганська теплова електрична станція» ТОВ «ДТЕК </w:t>
      </w:r>
      <w:proofErr w:type="spellStart"/>
      <w:r w:rsidRPr="00CE3123">
        <w:rPr>
          <w:rFonts w:ascii="Times New Roman" w:hAnsi="Times New Roman" w:cs="Times New Roman"/>
          <w:sz w:val="28"/>
        </w:rPr>
        <w:t>Східенерго</w:t>
      </w:r>
      <w:proofErr w:type="spellEnd"/>
      <w:r w:rsidRPr="00CE3123">
        <w:rPr>
          <w:rFonts w:ascii="Times New Roman" w:hAnsi="Times New Roman" w:cs="Times New Roman"/>
          <w:sz w:val="28"/>
        </w:rPr>
        <w:t xml:space="preserve">», </w:t>
      </w:r>
      <w:proofErr w:type="spellStart"/>
      <w:r w:rsidRPr="00CE3123">
        <w:rPr>
          <w:rFonts w:ascii="Times New Roman" w:hAnsi="Times New Roman" w:cs="Times New Roman"/>
          <w:sz w:val="28"/>
        </w:rPr>
        <w:t>ПрАТ</w:t>
      </w:r>
      <w:proofErr w:type="spellEnd"/>
      <w:r w:rsidRPr="00CE3123">
        <w:rPr>
          <w:rFonts w:ascii="Times New Roman" w:hAnsi="Times New Roman" w:cs="Times New Roman"/>
          <w:sz w:val="28"/>
        </w:rPr>
        <w:t xml:space="preserve"> «</w:t>
      </w:r>
      <w:proofErr w:type="spellStart"/>
      <w:r w:rsidRPr="00CE3123">
        <w:rPr>
          <w:rFonts w:ascii="Times New Roman" w:hAnsi="Times New Roman" w:cs="Times New Roman"/>
          <w:sz w:val="28"/>
        </w:rPr>
        <w:t>Сєвєродонецьке</w:t>
      </w:r>
      <w:proofErr w:type="spellEnd"/>
      <w:r w:rsidRPr="00CE3123">
        <w:rPr>
          <w:rFonts w:ascii="Times New Roman" w:hAnsi="Times New Roman" w:cs="Times New Roman"/>
          <w:sz w:val="28"/>
        </w:rPr>
        <w:t xml:space="preserve"> </w:t>
      </w:r>
      <w:proofErr w:type="spellStart"/>
      <w:r w:rsidRPr="00CE3123">
        <w:rPr>
          <w:rFonts w:ascii="Times New Roman" w:hAnsi="Times New Roman" w:cs="Times New Roman"/>
          <w:sz w:val="28"/>
        </w:rPr>
        <w:t>обʼєднання</w:t>
      </w:r>
      <w:proofErr w:type="spellEnd"/>
      <w:r w:rsidRPr="00CE3123">
        <w:rPr>
          <w:rFonts w:ascii="Times New Roman" w:hAnsi="Times New Roman" w:cs="Times New Roman"/>
          <w:sz w:val="28"/>
        </w:rPr>
        <w:t xml:space="preserve"> Азот», </w:t>
      </w:r>
      <w:proofErr w:type="spellStart"/>
      <w:r w:rsidRPr="00CE3123">
        <w:rPr>
          <w:rFonts w:ascii="Times New Roman" w:hAnsi="Times New Roman" w:cs="Times New Roman"/>
          <w:sz w:val="28"/>
        </w:rPr>
        <w:t>ПрАТ</w:t>
      </w:r>
      <w:proofErr w:type="spellEnd"/>
      <w:r w:rsidRPr="00CE3123">
        <w:rPr>
          <w:rFonts w:ascii="Times New Roman" w:hAnsi="Times New Roman" w:cs="Times New Roman"/>
          <w:sz w:val="28"/>
        </w:rPr>
        <w:t xml:space="preserve"> «ЛИНІК».</w:t>
      </w:r>
    </w:p>
    <w:p w:rsidR="00135EDE" w:rsidRDefault="00135EDE" w:rsidP="00CE3123">
      <w:pPr>
        <w:pStyle w:val="a8"/>
        <w:spacing w:after="0" w:line="240" w:lineRule="auto"/>
        <w:ind w:left="0" w:firstLine="567"/>
        <w:jc w:val="both"/>
        <w:rPr>
          <w:rFonts w:ascii="Times New Roman" w:hAnsi="Times New Roman" w:cs="Times New Roman"/>
          <w:sz w:val="28"/>
        </w:rPr>
      </w:pPr>
      <w:proofErr w:type="spellStart"/>
      <w:r w:rsidRPr="00135EDE">
        <w:rPr>
          <w:rFonts w:ascii="Times New Roman" w:hAnsi="Times New Roman" w:cs="Times New Roman"/>
          <w:sz w:val="28"/>
        </w:rPr>
        <w:t>Лисичансько-Рубіжанський</w:t>
      </w:r>
      <w:proofErr w:type="spellEnd"/>
      <w:r w:rsidRPr="00135EDE">
        <w:rPr>
          <w:rFonts w:ascii="Times New Roman" w:hAnsi="Times New Roman" w:cs="Times New Roman"/>
          <w:sz w:val="28"/>
        </w:rPr>
        <w:t xml:space="preserve"> регіон є значним промисловим центром в Україні. На території </w:t>
      </w:r>
      <w:proofErr w:type="spellStart"/>
      <w:r w:rsidRPr="00135EDE">
        <w:rPr>
          <w:rFonts w:ascii="Times New Roman" w:hAnsi="Times New Roman" w:cs="Times New Roman"/>
          <w:sz w:val="28"/>
        </w:rPr>
        <w:t>Лисичансько-Рубіжанського</w:t>
      </w:r>
      <w:proofErr w:type="spellEnd"/>
      <w:r w:rsidRPr="00135EDE">
        <w:rPr>
          <w:rFonts w:ascii="Times New Roman" w:hAnsi="Times New Roman" w:cs="Times New Roman"/>
          <w:sz w:val="28"/>
        </w:rPr>
        <w:t xml:space="preserve"> регіону зосереджені великі підприємства хімії, нафтохімії, приладобудування та вугільної промисловості. Цей промисловий центр України займає 7 відсотків території Луганської області. Територіальна близькість промислових міст Лисичанська, </w:t>
      </w:r>
      <w:proofErr w:type="spellStart"/>
      <w:r w:rsidRPr="00135EDE">
        <w:rPr>
          <w:rFonts w:ascii="Times New Roman" w:hAnsi="Times New Roman" w:cs="Times New Roman"/>
          <w:sz w:val="28"/>
        </w:rPr>
        <w:t>Сєвєродонецька</w:t>
      </w:r>
      <w:proofErr w:type="spellEnd"/>
      <w:r w:rsidRPr="00135EDE">
        <w:rPr>
          <w:rFonts w:ascii="Times New Roman" w:hAnsi="Times New Roman" w:cs="Times New Roman"/>
          <w:sz w:val="28"/>
        </w:rPr>
        <w:t xml:space="preserve"> та Рубіжного чинить взаємний вплив на екологічну обстановку в регіоні.</w:t>
      </w:r>
    </w:p>
    <w:p w:rsidR="00135EDE" w:rsidRDefault="00135EDE" w:rsidP="00CE3123">
      <w:pPr>
        <w:pStyle w:val="a8"/>
        <w:spacing w:after="0" w:line="240" w:lineRule="auto"/>
        <w:ind w:left="0" w:firstLine="567"/>
        <w:jc w:val="both"/>
        <w:rPr>
          <w:rFonts w:ascii="Times New Roman" w:hAnsi="Times New Roman" w:cs="Times New Roman"/>
          <w:sz w:val="28"/>
        </w:rPr>
      </w:pPr>
      <w:r w:rsidRPr="00135EDE">
        <w:rPr>
          <w:rFonts w:ascii="Times New Roman" w:hAnsi="Times New Roman" w:cs="Times New Roman"/>
          <w:sz w:val="28"/>
        </w:rPr>
        <w:t>Розподіл викидів забруднюючих речовин в атмосферне повітря за видами економічної діяльності по регіону у 2019 році наведений у таблиці</w:t>
      </w:r>
      <w:r w:rsidR="00B24932">
        <w:rPr>
          <w:rFonts w:ascii="Times New Roman" w:hAnsi="Times New Roman" w:cs="Times New Roman"/>
          <w:sz w:val="28"/>
          <w:lang w:val="ru-RU"/>
        </w:rPr>
        <w:t xml:space="preserve"> 1</w:t>
      </w:r>
      <w:r>
        <w:rPr>
          <w:rFonts w:ascii="Times New Roman" w:hAnsi="Times New Roman" w:cs="Times New Roman"/>
          <w:sz w:val="28"/>
        </w:rPr>
        <w:t>.</w:t>
      </w:r>
    </w:p>
    <w:p w:rsidR="001425D8" w:rsidRDefault="001425D8" w:rsidP="00CE3123">
      <w:pPr>
        <w:pStyle w:val="a8"/>
        <w:spacing w:after="0" w:line="240" w:lineRule="auto"/>
        <w:ind w:left="0" w:firstLine="567"/>
        <w:jc w:val="both"/>
        <w:rPr>
          <w:rFonts w:ascii="Times New Roman" w:hAnsi="Times New Roman" w:cs="Times New Roman"/>
          <w:sz w:val="28"/>
        </w:rPr>
      </w:pPr>
    </w:p>
    <w:p w:rsidR="001425D8" w:rsidRPr="00B24932" w:rsidRDefault="001425D8" w:rsidP="001425D8">
      <w:pPr>
        <w:pStyle w:val="a8"/>
        <w:spacing w:after="0" w:line="240" w:lineRule="auto"/>
        <w:ind w:left="0" w:firstLine="567"/>
        <w:jc w:val="right"/>
        <w:rPr>
          <w:rFonts w:ascii="Times New Roman" w:hAnsi="Times New Roman" w:cs="Times New Roman"/>
          <w:sz w:val="20"/>
          <w:lang w:val="ru-RU"/>
        </w:rPr>
      </w:pPr>
      <w:r w:rsidRPr="001425D8">
        <w:rPr>
          <w:rFonts w:ascii="Times New Roman" w:hAnsi="Times New Roman" w:cs="Times New Roman"/>
          <w:sz w:val="20"/>
        </w:rPr>
        <w:t>Таблиця</w:t>
      </w:r>
      <w:r w:rsidR="00B24932">
        <w:rPr>
          <w:rFonts w:ascii="Times New Roman" w:hAnsi="Times New Roman" w:cs="Times New Roman"/>
          <w:sz w:val="20"/>
          <w:lang w:val="ru-RU"/>
        </w:rPr>
        <w:t xml:space="preserve"> 1</w:t>
      </w:r>
    </w:p>
    <w:tbl>
      <w:tblPr>
        <w:tblStyle w:val="a3"/>
        <w:tblW w:w="0" w:type="auto"/>
        <w:tblLook w:val="04A0" w:firstRow="1" w:lastRow="0" w:firstColumn="1" w:lastColumn="0" w:noHBand="0" w:noVBand="1"/>
      </w:tblPr>
      <w:tblGrid>
        <w:gridCol w:w="817"/>
        <w:gridCol w:w="6237"/>
        <w:gridCol w:w="1559"/>
        <w:gridCol w:w="1524"/>
      </w:tblGrid>
      <w:tr w:rsidR="00135EDE" w:rsidRPr="00135EDE" w:rsidTr="001305B3">
        <w:tc>
          <w:tcPr>
            <w:tcW w:w="817" w:type="dxa"/>
            <w:vMerge w:val="restart"/>
          </w:tcPr>
          <w:p w:rsidR="00135EDE" w:rsidRPr="00135EDE" w:rsidRDefault="00135EDE" w:rsidP="00135EDE">
            <w:pPr>
              <w:pStyle w:val="a8"/>
              <w:ind w:left="0"/>
              <w:jc w:val="center"/>
              <w:rPr>
                <w:rFonts w:ascii="Times New Roman" w:hAnsi="Times New Roman" w:cs="Times New Roman"/>
                <w:sz w:val="24"/>
                <w:szCs w:val="24"/>
              </w:rPr>
            </w:pPr>
            <w:r w:rsidRPr="00135EDE">
              <w:rPr>
                <w:rFonts w:ascii="Times New Roman" w:hAnsi="Times New Roman" w:cs="Times New Roman"/>
                <w:sz w:val="24"/>
                <w:szCs w:val="24"/>
              </w:rPr>
              <w:t>№ з/п</w:t>
            </w:r>
          </w:p>
        </w:tc>
        <w:tc>
          <w:tcPr>
            <w:tcW w:w="6237" w:type="dxa"/>
            <w:vMerge w:val="restart"/>
          </w:tcPr>
          <w:p w:rsidR="00135EDE" w:rsidRPr="00135EDE" w:rsidRDefault="00135EDE" w:rsidP="00135EDE">
            <w:pPr>
              <w:pStyle w:val="Default"/>
              <w:jc w:val="center"/>
            </w:pPr>
            <w:r w:rsidRPr="00135EDE">
              <w:t>Види економічної діяльності</w:t>
            </w:r>
          </w:p>
          <w:p w:rsidR="00135EDE" w:rsidRPr="00135EDE" w:rsidRDefault="00135EDE" w:rsidP="00135EDE">
            <w:pPr>
              <w:pStyle w:val="a8"/>
              <w:ind w:left="0"/>
              <w:jc w:val="center"/>
              <w:rPr>
                <w:rFonts w:ascii="Times New Roman" w:hAnsi="Times New Roman" w:cs="Times New Roman"/>
                <w:sz w:val="24"/>
                <w:szCs w:val="24"/>
              </w:rPr>
            </w:pPr>
          </w:p>
        </w:tc>
        <w:tc>
          <w:tcPr>
            <w:tcW w:w="3083" w:type="dxa"/>
            <w:gridSpan w:val="2"/>
          </w:tcPr>
          <w:p w:rsidR="00135EDE" w:rsidRPr="00135EDE" w:rsidRDefault="00135EDE" w:rsidP="00135EDE">
            <w:pPr>
              <w:pStyle w:val="a8"/>
              <w:ind w:left="0"/>
              <w:jc w:val="center"/>
              <w:rPr>
                <w:rFonts w:ascii="Times New Roman" w:hAnsi="Times New Roman" w:cs="Times New Roman"/>
                <w:sz w:val="24"/>
                <w:szCs w:val="24"/>
              </w:rPr>
            </w:pPr>
            <w:r w:rsidRPr="00135EDE">
              <w:rPr>
                <w:rFonts w:ascii="Times New Roman" w:hAnsi="Times New Roman" w:cs="Times New Roman"/>
                <w:sz w:val="24"/>
                <w:szCs w:val="24"/>
              </w:rPr>
              <w:t>Обсяги викидів за регіоном</w:t>
            </w:r>
          </w:p>
        </w:tc>
      </w:tr>
      <w:tr w:rsidR="00135EDE" w:rsidRPr="00135EDE" w:rsidTr="00135EDE">
        <w:tc>
          <w:tcPr>
            <w:tcW w:w="817" w:type="dxa"/>
            <w:vMerge/>
          </w:tcPr>
          <w:p w:rsidR="00135EDE" w:rsidRPr="00135EDE" w:rsidRDefault="00135EDE" w:rsidP="00135EDE">
            <w:pPr>
              <w:pStyle w:val="a8"/>
              <w:ind w:left="0"/>
              <w:jc w:val="center"/>
              <w:rPr>
                <w:rFonts w:ascii="Times New Roman" w:hAnsi="Times New Roman" w:cs="Times New Roman"/>
                <w:sz w:val="24"/>
                <w:szCs w:val="24"/>
              </w:rPr>
            </w:pPr>
          </w:p>
        </w:tc>
        <w:tc>
          <w:tcPr>
            <w:tcW w:w="6237" w:type="dxa"/>
            <w:vMerge/>
          </w:tcPr>
          <w:p w:rsidR="00135EDE" w:rsidRPr="00135EDE" w:rsidRDefault="00135EDE" w:rsidP="00135EDE">
            <w:pPr>
              <w:pStyle w:val="a8"/>
              <w:ind w:left="0"/>
              <w:jc w:val="center"/>
              <w:rPr>
                <w:rFonts w:ascii="Times New Roman" w:hAnsi="Times New Roman" w:cs="Times New Roman"/>
                <w:sz w:val="24"/>
                <w:szCs w:val="24"/>
              </w:rPr>
            </w:pPr>
          </w:p>
        </w:tc>
        <w:tc>
          <w:tcPr>
            <w:tcW w:w="1559" w:type="dxa"/>
          </w:tcPr>
          <w:p w:rsidR="00135EDE" w:rsidRPr="00135EDE" w:rsidRDefault="00135EDE" w:rsidP="00135EDE">
            <w:pPr>
              <w:pStyle w:val="a8"/>
              <w:ind w:left="0"/>
              <w:jc w:val="center"/>
              <w:rPr>
                <w:rFonts w:ascii="Times New Roman" w:hAnsi="Times New Roman" w:cs="Times New Roman"/>
                <w:sz w:val="24"/>
                <w:szCs w:val="24"/>
              </w:rPr>
            </w:pPr>
            <w:r>
              <w:rPr>
                <w:rFonts w:ascii="Times New Roman" w:hAnsi="Times New Roman" w:cs="Times New Roman"/>
                <w:sz w:val="24"/>
                <w:szCs w:val="24"/>
              </w:rPr>
              <w:t>тис. т</w:t>
            </w:r>
          </w:p>
        </w:tc>
        <w:tc>
          <w:tcPr>
            <w:tcW w:w="1524" w:type="dxa"/>
          </w:tcPr>
          <w:p w:rsidR="00135EDE" w:rsidRPr="00135EDE" w:rsidRDefault="00135EDE" w:rsidP="00135EDE">
            <w:pPr>
              <w:pStyle w:val="a8"/>
              <w:ind w:left="0"/>
              <w:jc w:val="center"/>
              <w:rPr>
                <w:rFonts w:ascii="Times New Roman" w:hAnsi="Times New Roman" w:cs="Times New Roman"/>
                <w:sz w:val="24"/>
                <w:szCs w:val="24"/>
              </w:rPr>
            </w:pPr>
            <w:r w:rsidRPr="00135EDE">
              <w:rPr>
                <w:rFonts w:ascii="Times New Roman" w:hAnsi="Times New Roman" w:cs="Times New Roman"/>
                <w:sz w:val="24"/>
                <w:szCs w:val="24"/>
              </w:rPr>
              <w:t>відсотків до загального підсумку</w:t>
            </w:r>
          </w:p>
        </w:tc>
      </w:tr>
      <w:tr w:rsidR="00135EDE" w:rsidRPr="00135EDE" w:rsidTr="00135EDE">
        <w:tc>
          <w:tcPr>
            <w:tcW w:w="817" w:type="dxa"/>
          </w:tcPr>
          <w:p w:rsidR="00135EDE" w:rsidRPr="00135EDE" w:rsidRDefault="00135EDE" w:rsidP="00135EDE">
            <w:pPr>
              <w:pStyle w:val="a8"/>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Pr>
          <w:p w:rsidR="00135EDE" w:rsidRPr="00135EDE" w:rsidRDefault="00135EDE" w:rsidP="00135EDE">
            <w:pPr>
              <w:pStyle w:val="a8"/>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135EDE" w:rsidRPr="00135EDE" w:rsidRDefault="00135EDE" w:rsidP="00135EDE">
            <w:pPr>
              <w:pStyle w:val="a8"/>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24" w:type="dxa"/>
          </w:tcPr>
          <w:p w:rsidR="00135EDE" w:rsidRPr="00135EDE" w:rsidRDefault="00135EDE" w:rsidP="00135EDE">
            <w:pPr>
              <w:pStyle w:val="a8"/>
              <w:ind w:left="0"/>
              <w:jc w:val="center"/>
              <w:rPr>
                <w:rFonts w:ascii="Times New Roman" w:hAnsi="Times New Roman" w:cs="Times New Roman"/>
                <w:sz w:val="24"/>
                <w:szCs w:val="24"/>
              </w:rPr>
            </w:pPr>
            <w:r>
              <w:rPr>
                <w:rFonts w:ascii="Times New Roman" w:hAnsi="Times New Roman" w:cs="Times New Roman"/>
                <w:sz w:val="24"/>
                <w:szCs w:val="24"/>
              </w:rPr>
              <w:t>4</w:t>
            </w:r>
          </w:p>
        </w:tc>
      </w:tr>
      <w:tr w:rsidR="00135EDE" w:rsidRPr="00135EDE" w:rsidTr="001305B3">
        <w:tc>
          <w:tcPr>
            <w:tcW w:w="7054" w:type="dxa"/>
            <w:gridSpan w:val="2"/>
          </w:tcPr>
          <w:p w:rsidR="00135EDE" w:rsidRPr="00135EDE" w:rsidRDefault="00135EDE" w:rsidP="00135EDE">
            <w:pPr>
              <w:pStyle w:val="a8"/>
              <w:ind w:left="0"/>
              <w:jc w:val="center"/>
              <w:rPr>
                <w:rFonts w:ascii="Times New Roman" w:hAnsi="Times New Roman" w:cs="Times New Roman"/>
                <w:b/>
                <w:sz w:val="24"/>
                <w:szCs w:val="24"/>
              </w:rPr>
            </w:pPr>
            <w:r w:rsidRPr="00135EDE">
              <w:rPr>
                <w:rFonts w:ascii="Times New Roman" w:hAnsi="Times New Roman" w:cs="Times New Roman"/>
                <w:b/>
                <w:sz w:val="24"/>
                <w:szCs w:val="24"/>
              </w:rPr>
              <w:t>Усього</w:t>
            </w:r>
          </w:p>
        </w:tc>
        <w:tc>
          <w:tcPr>
            <w:tcW w:w="1559" w:type="dxa"/>
          </w:tcPr>
          <w:p w:rsidR="00135EDE" w:rsidRPr="00135EDE" w:rsidRDefault="00135EDE" w:rsidP="00135EDE">
            <w:pPr>
              <w:pStyle w:val="Default"/>
              <w:jc w:val="center"/>
            </w:pPr>
            <w:r w:rsidRPr="00135EDE">
              <w:rPr>
                <w:b/>
                <w:bCs/>
              </w:rPr>
              <w:t>37,3485</w:t>
            </w:r>
          </w:p>
        </w:tc>
        <w:tc>
          <w:tcPr>
            <w:tcW w:w="1524" w:type="dxa"/>
          </w:tcPr>
          <w:p w:rsidR="00135EDE" w:rsidRPr="00135EDE" w:rsidRDefault="00135EDE" w:rsidP="00135EDE">
            <w:pPr>
              <w:pStyle w:val="Default"/>
              <w:jc w:val="center"/>
            </w:pPr>
            <w:r w:rsidRPr="00135EDE">
              <w:rPr>
                <w:b/>
                <w:bCs/>
              </w:rPr>
              <w:t>100,0</w:t>
            </w:r>
          </w:p>
        </w:tc>
      </w:tr>
      <w:tr w:rsidR="00135EDE" w:rsidRPr="00135EDE" w:rsidTr="001305B3">
        <w:tc>
          <w:tcPr>
            <w:tcW w:w="7054" w:type="dxa"/>
            <w:gridSpan w:val="2"/>
          </w:tcPr>
          <w:p w:rsidR="00135EDE" w:rsidRPr="00135EDE" w:rsidRDefault="00135EDE" w:rsidP="00CE3123">
            <w:pPr>
              <w:pStyle w:val="a8"/>
              <w:ind w:left="0"/>
              <w:jc w:val="both"/>
              <w:rPr>
                <w:rFonts w:ascii="Times New Roman" w:hAnsi="Times New Roman" w:cs="Times New Roman"/>
                <w:sz w:val="24"/>
                <w:szCs w:val="24"/>
              </w:rPr>
            </w:pPr>
            <w:r w:rsidRPr="00135EDE">
              <w:rPr>
                <w:rFonts w:ascii="Times New Roman" w:hAnsi="Times New Roman" w:cs="Times New Roman"/>
                <w:sz w:val="24"/>
                <w:szCs w:val="24"/>
              </w:rPr>
              <w:t>За видами економічної діяльності, у тому числі:</w:t>
            </w:r>
          </w:p>
        </w:tc>
        <w:tc>
          <w:tcPr>
            <w:tcW w:w="1559" w:type="dxa"/>
          </w:tcPr>
          <w:p w:rsidR="00135EDE" w:rsidRPr="00135EDE" w:rsidRDefault="00135EDE" w:rsidP="00CE3123">
            <w:pPr>
              <w:pStyle w:val="a8"/>
              <w:ind w:left="0"/>
              <w:jc w:val="both"/>
              <w:rPr>
                <w:rFonts w:ascii="Times New Roman" w:hAnsi="Times New Roman" w:cs="Times New Roman"/>
                <w:sz w:val="24"/>
                <w:szCs w:val="24"/>
              </w:rPr>
            </w:pPr>
          </w:p>
        </w:tc>
        <w:tc>
          <w:tcPr>
            <w:tcW w:w="1524" w:type="dxa"/>
          </w:tcPr>
          <w:p w:rsidR="00135EDE" w:rsidRPr="00135EDE" w:rsidRDefault="00135EDE" w:rsidP="00CE3123">
            <w:pPr>
              <w:pStyle w:val="a8"/>
              <w:ind w:left="0"/>
              <w:jc w:val="both"/>
              <w:rPr>
                <w:rFonts w:ascii="Times New Roman" w:hAnsi="Times New Roman" w:cs="Times New Roman"/>
                <w:sz w:val="24"/>
                <w:szCs w:val="24"/>
              </w:rPr>
            </w:pP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r>
              <w:rPr>
                <w:rFonts w:ascii="Times New Roman" w:hAnsi="Times New Roman" w:cs="Times New Roman"/>
                <w:sz w:val="24"/>
                <w:szCs w:val="24"/>
              </w:rPr>
              <w:t>1.1.</w:t>
            </w:r>
          </w:p>
        </w:tc>
        <w:tc>
          <w:tcPr>
            <w:tcW w:w="6237" w:type="dxa"/>
          </w:tcPr>
          <w:p w:rsidR="001425D8" w:rsidRDefault="001425D8">
            <w:pPr>
              <w:pStyle w:val="Default"/>
              <w:rPr>
                <w:sz w:val="23"/>
                <w:szCs w:val="23"/>
              </w:rPr>
            </w:pPr>
            <w:r>
              <w:rPr>
                <w:sz w:val="23"/>
                <w:szCs w:val="23"/>
              </w:rPr>
              <w:t>Усі види економічної діяльності</w:t>
            </w:r>
          </w:p>
        </w:tc>
        <w:tc>
          <w:tcPr>
            <w:tcW w:w="1559" w:type="dxa"/>
          </w:tcPr>
          <w:p w:rsidR="001425D8" w:rsidRDefault="001425D8" w:rsidP="00BD56DF">
            <w:pPr>
              <w:pStyle w:val="Default"/>
              <w:jc w:val="center"/>
              <w:rPr>
                <w:sz w:val="22"/>
                <w:szCs w:val="22"/>
              </w:rPr>
            </w:pPr>
            <w:r>
              <w:rPr>
                <w:sz w:val="22"/>
                <w:szCs w:val="22"/>
              </w:rPr>
              <w:t>37,3485</w:t>
            </w:r>
          </w:p>
        </w:tc>
        <w:tc>
          <w:tcPr>
            <w:tcW w:w="1524" w:type="dxa"/>
          </w:tcPr>
          <w:p w:rsidR="001425D8" w:rsidRDefault="001425D8" w:rsidP="00BD56DF">
            <w:pPr>
              <w:pStyle w:val="Default"/>
              <w:jc w:val="center"/>
              <w:rPr>
                <w:sz w:val="23"/>
                <w:szCs w:val="23"/>
              </w:rPr>
            </w:pPr>
            <w:r>
              <w:rPr>
                <w:sz w:val="23"/>
                <w:szCs w:val="23"/>
              </w:rPr>
              <w:t>100,0</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Сільське, лісове та рибне господарство</w:t>
            </w:r>
          </w:p>
        </w:tc>
        <w:tc>
          <w:tcPr>
            <w:tcW w:w="1559" w:type="dxa"/>
          </w:tcPr>
          <w:p w:rsidR="001425D8" w:rsidRDefault="001425D8" w:rsidP="00BD56DF">
            <w:pPr>
              <w:pStyle w:val="Default"/>
              <w:jc w:val="center"/>
              <w:rPr>
                <w:sz w:val="22"/>
                <w:szCs w:val="22"/>
              </w:rPr>
            </w:pPr>
            <w:r>
              <w:rPr>
                <w:sz w:val="22"/>
                <w:szCs w:val="22"/>
              </w:rPr>
              <w:t>0,3866</w:t>
            </w:r>
          </w:p>
        </w:tc>
        <w:tc>
          <w:tcPr>
            <w:tcW w:w="1524" w:type="dxa"/>
          </w:tcPr>
          <w:p w:rsidR="001425D8" w:rsidRDefault="001425D8" w:rsidP="00BD56DF">
            <w:pPr>
              <w:pStyle w:val="Default"/>
              <w:jc w:val="center"/>
              <w:rPr>
                <w:sz w:val="23"/>
                <w:szCs w:val="23"/>
              </w:rPr>
            </w:pPr>
            <w:r>
              <w:rPr>
                <w:sz w:val="23"/>
                <w:szCs w:val="23"/>
              </w:rPr>
              <w:t>1,035</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Добувна промисловість і розроблення кар’єрів</w:t>
            </w:r>
          </w:p>
        </w:tc>
        <w:tc>
          <w:tcPr>
            <w:tcW w:w="1559" w:type="dxa"/>
          </w:tcPr>
          <w:p w:rsidR="001425D8" w:rsidRDefault="001425D8" w:rsidP="00BD56DF">
            <w:pPr>
              <w:pStyle w:val="Default"/>
              <w:jc w:val="center"/>
              <w:rPr>
                <w:sz w:val="22"/>
                <w:szCs w:val="22"/>
              </w:rPr>
            </w:pPr>
            <w:r>
              <w:rPr>
                <w:sz w:val="22"/>
                <w:szCs w:val="22"/>
              </w:rPr>
              <w:t>14,7221</w:t>
            </w:r>
          </w:p>
        </w:tc>
        <w:tc>
          <w:tcPr>
            <w:tcW w:w="1524" w:type="dxa"/>
          </w:tcPr>
          <w:p w:rsidR="001425D8" w:rsidRDefault="001425D8" w:rsidP="00BD56DF">
            <w:pPr>
              <w:pStyle w:val="Default"/>
              <w:jc w:val="center"/>
              <w:rPr>
                <w:sz w:val="23"/>
                <w:szCs w:val="23"/>
              </w:rPr>
            </w:pPr>
            <w:r>
              <w:rPr>
                <w:sz w:val="23"/>
                <w:szCs w:val="23"/>
              </w:rPr>
              <w:t>39,418</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Переробна промисловість</w:t>
            </w:r>
          </w:p>
        </w:tc>
        <w:tc>
          <w:tcPr>
            <w:tcW w:w="1559" w:type="dxa"/>
          </w:tcPr>
          <w:p w:rsidR="001425D8" w:rsidRDefault="001425D8" w:rsidP="00BD56DF">
            <w:pPr>
              <w:pStyle w:val="Default"/>
              <w:jc w:val="center"/>
              <w:rPr>
                <w:sz w:val="22"/>
                <w:szCs w:val="22"/>
              </w:rPr>
            </w:pPr>
            <w:r>
              <w:rPr>
                <w:sz w:val="22"/>
                <w:szCs w:val="22"/>
              </w:rPr>
              <w:t>2,2469</w:t>
            </w:r>
          </w:p>
        </w:tc>
        <w:tc>
          <w:tcPr>
            <w:tcW w:w="1524" w:type="dxa"/>
          </w:tcPr>
          <w:p w:rsidR="001425D8" w:rsidRDefault="001425D8" w:rsidP="00BD56DF">
            <w:pPr>
              <w:pStyle w:val="Default"/>
              <w:jc w:val="center"/>
              <w:rPr>
                <w:sz w:val="23"/>
                <w:szCs w:val="23"/>
              </w:rPr>
            </w:pPr>
            <w:r>
              <w:rPr>
                <w:sz w:val="23"/>
                <w:szCs w:val="23"/>
              </w:rPr>
              <w:t>6,016</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Постачання електроенергії, газу, пари та</w:t>
            </w:r>
            <w:r w:rsidR="00BD56DF">
              <w:rPr>
                <w:sz w:val="23"/>
                <w:szCs w:val="23"/>
              </w:rPr>
              <w:t xml:space="preserve"> </w:t>
            </w:r>
            <w:r>
              <w:rPr>
                <w:sz w:val="23"/>
                <w:szCs w:val="23"/>
              </w:rPr>
              <w:t>кондиційованого повітря</w:t>
            </w:r>
          </w:p>
        </w:tc>
        <w:tc>
          <w:tcPr>
            <w:tcW w:w="1559" w:type="dxa"/>
          </w:tcPr>
          <w:p w:rsidR="001425D8" w:rsidRDefault="001425D8" w:rsidP="00BD56DF">
            <w:pPr>
              <w:pStyle w:val="Default"/>
              <w:jc w:val="center"/>
              <w:rPr>
                <w:sz w:val="22"/>
                <w:szCs w:val="22"/>
              </w:rPr>
            </w:pPr>
            <w:r>
              <w:rPr>
                <w:sz w:val="22"/>
                <w:szCs w:val="22"/>
              </w:rPr>
              <w:t>18,1826</w:t>
            </w:r>
          </w:p>
        </w:tc>
        <w:tc>
          <w:tcPr>
            <w:tcW w:w="1524" w:type="dxa"/>
          </w:tcPr>
          <w:p w:rsidR="001425D8" w:rsidRDefault="001425D8" w:rsidP="00BD56DF">
            <w:pPr>
              <w:pStyle w:val="Default"/>
              <w:jc w:val="center"/>
              <w:rPr>
                <w:sz w:val="23"/>
                <w:szCs w:val="23"/>
              </w:rPr>
            </w:pPr>
            <w:r>
              <w:rPr>
                <w:sz w:val="23"/>
                <w:szCs w:val="23"/>
              </w:rPr>
              <w:t>48,68</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Водопостачання; каналізація, поводження з</w:t>
            </w:r>
            <w:r w:rsidR="00BD56DF">
              <w:rPr>
                <w:sz w:val="23"/>
                <w:szCs w:val="23"/>
              </w:rPr>
              <w:t xml:space="preserve"> </w:t>
            </w:r>
            <w:r>
              <w:rPr>
                <w:sz w:val="23"/>
                <w:szCs w:val="23"/>
              </w:rPr>
              <w:t>відходами</w:t>
            </w:r>
          </w:p>
        </w:tc>
        <w:tc>
          <w:tcPr>
            <w:tcW w:w="1559" w:type="dxa"/>
          </w:tcPr>
          <w:p w:rsidR="001425D8" w:rsidRDefault="001425D8" w:rsidP="00BD56DF">
            <w:pPr>
              <w:pStyle w:val="Default"/>
              <w:jc w:val="center"/>
              <w:rPr>
                <w:sz w:val="22"/>
                <w:szCs w:val="22"/>
              </w:rPr>
            </w:pPr>
            <w:r>
              <w:rPr>
                <w:sz w:val="22"/>
                <w:szCs w:val="22"/>
              </w:rPr>
              <w:t>0,0267</w:t>
            </w:r>
          </w:p>
        </w:tc>
        <w:tc>
          <w:tcPr>
            <w:tcW w:w="1524" w:type="dxa"/>
          </w:tcPr>
          <w:p w:rsidR="001425D8" w:rsidRDefault="001425D8" w:rsidP="00BD56DF">
            <w:pPr>
              <w:pStyle w:val="Default"/>
              <w:jc w:val="center"/>
              <w:rPr>
                <w:sz w:val="23"/>
                <w:szCs w:val="23"/>
              </w:rPr>
            </w:pPr>
            <w:r>
              <w:rPr>
                <w:sz w:val="23"/>
                <w:szCs w:val="23"/>
              </w:rPr>
              <w:t>0,0715</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Будівництво</w:t>
            </w:r>
          </w:p>
        </w:tc>
        <w:tc>
          <w:tcPr>
            <w:tcW w:w="1559" w:type="dxa"/>
          </w:tcPr>
          <w:p w:rsidR="001425D8" w:rsidRDefault="001425D8" w:rsidP="00BD56DF">
            <w:pPr>
              <w:pStyle w:val="Default"/>
              <w:jc w:val="center"/>
              <w:rPr>
                <w:sz w:val="22"/>
                <w:szCs w:val="22"/>
              </w:rPr>
            </w:pPr>
            <w:r>
              <w:rPr>
                <w:sz w:val="22"/>
                <w:szCs w:val="22"/>
              </w:rPr>
              <w:t>0,0188</w:t>
            </w:r>
          </w:p>
        </w:tc>
        <w:tc>
          <w:tcPr>
            <w:tcW w:w="1524" w:type="dxa"/>
          </w:tcPr>
          <w:p w:rsidR="001425D8" w:rsidRDefault="001425D8" w:rsidP="00BD56DF">
            <w:pPr>
              <w:pStyle w:val="Default"/>
              <w:jc w:val="center"/>
              <w:rPr>
                <w:sz w:val="23"/>
                <w:szCs w:val="23"/>
              </w:rPr>
            </w:pPr>
            <w:r>
              <w:rPr>
                <w:sz w:val="23"/>
                <w:szCs w:val="23"/>
              </w:rPr>
              <w:t>0,0503</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Оптова та роздрібна торгівля; ремонт автотранспортних засобів і мотоциклів</w:t>
            </w:r>
          </w:p>
        </w:tc>
        <w:tc>
          <w:tcPr>
            <w:tcW w:w="1559" w:type="dxa"/>
          </w:tcPr>
          <w:p w:rsidR="001425D8" w:rsidRDefault="001425D8" w:rsidP="00BD56DF">
            <w:pPr>
              <w:pStyle w:val="Default"/>
              <w:jc w:val="center"/>
              <w:rPr>
                <w:sz w:val="23"/>
                <w:szCs w:val="23"/>
              </w:rPr>
            </w:pPr>
            <w:r>
              <w:rPr>
                <w:sz w:val="23"/>
                <w:szCs w:val="23"/>
              </w:rPr>
              <w:t>0,010</w:t>
            </w:r>
          </w:p>
        </w:tc>
        <w:tc>
          <w:tcPr>
            <w:tcW w:w="1524" w:type="dxa"/>
          </w:tcPr>
          <w:p w:rsidR="001425D8" w:rsidRDefault="001425D8" w:rsidP="00BD56DF">
            <w:pPr>
              <w:pStyle w:val="Default"/>
              <w:jc w:val="center"/>
              <w:rPr>
                <w:sz w:val="23"/>
                <w:szCs w:val="23"/>
              </w:rPr>
            </w:pPr>
            <w:r>
              <w:rPr>
                <w:sz w:val="23"/>
                <w:szCs w:val="23"/>
              </w:rPr>
              <w:t>0,0268</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Транспорт, складське господарство, поштова та кур’єрська діяльність</w:t>
            </w:r>
          </w:p>
        </w:tc>
        <w:tc>
          <w:tcPr>
            <w:tcW w:w="1559" w:type="dxa"/>
          </w:tcPr>
          <w:p w:rsidR="001425D8" w:rsidRDefault="001425D8" w:rsidP="00BD56DF">
            <w:pPr>
              <w:pStyle w:val="Default"/>
              <w:jc w:val="center"/>
              <w:rPr>
                <w:sz w:val="23"/>
                <w:szCs w:val="23"/>
              </w:rPr>
            </w:pPr>
            <w:r>
              <w:rPr>
                <w:sz w:val="23"/>
                <w:szCs w:val="23"/>
              </w:rPr>
              <w:t>1,0312</w:t>
            </w:r>
          </w:p>
        </w:tc>
        <w:tc>
          <w:tcPr>
            <w:tcW w:w="1524" w:type="dxa"/>
          </w:tcPr>
          <w:p w:rsidR="001425D8" w:rsidRDefault="001425D8" w:rsidP="00BD56DF">
            <w:pPr>
              <w:pStyle w:val="Default"/>
              <w:jc w:val="center"/>
              <w:rPr>
                <w:sz w:val="23"/>
                <w:szCs w:val="23"/>
              </w:rPr>
            </w:pPr>
            <w:r>
              <w:rPr>
                <w:sz w:val="23"/>
                <w:szCs w:val="23"/>
              </w:rPr>
              <w:t>2,761</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Тимчасове розміщування й організація харчування</w:t>
            </w:r>
          </w:p>
        </w:tc>
        <w:tc>
          <w:tcPr>
            <w:tcW w:w="1559" w:type="dxa"/>
          </w:tcPr>
          <w:p w:rsidR="001425D8" w:rsidRDefault="001425D8" w:rsidP="00BD56DF">
            <w:pPr>
              <w:pStyle w:val="Default"/>
              <w:jc w:val="center"/>
              <w:rPr>
                <w:sz w:val="23"/>
                <w:szCs w:val="23"/>
              </w:rPr>
            </w:pPr>
            <w:r>
              <w:rPr>
                <w:sz w:val="23"/>
                <w:szCs w:val="23"/>
              </w:rPr>
              <w:t>0,00178</w:t>
            </w:r>
          </w:p>
        </w:tc>
        <w:tc>
          <w:tcPr>
            <w:tcW w:w="1524" w:type="dxa"/>
          </w:tcPr>
          <w:p w:rsidR="001425D8" w:rsidRDefault="001425D8" w:rsidP="00BD56DF">
            <w:pPr>
              <w:pStyle w:val="Default"/>
              <w:jc w:val="center"/>
              <w:rPr>
                <w:sz w:val="23"/>
                <w:szCs w:val="23"/>
              </w:rPr>
            </w:pPr>
            <w:r>
              <w:rPr>
                <w:sz w:val="23"/>
                <w:szCs w:val="23"/>
              </w:rPr>
              <w:t>0,0048</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Інформація та телекомунікації</w:t>
            </w:r>
          </w:p>
        </w:tc>
        <w:tc>
          <w:tcPr>
            <w:tcW w:w="1559" w:type="dxa"/>
          </w:tcPr>
          <w:p w:rsidR="001425D8" w:rsidRDefault="001425D8" w:rsidP="00BD56DF">
            <w:pPr>
              <w:pStyle w:val="Default"/>
              <w:jc w:val="center"/>
              <w:rPr>
                <w:sz w:val="23"/>
                <w:szCs w:val="23"/>
              </w:rPr>
            </w:pPr>
            <w:r>
              <w:rPr>
                <w:sz w:val="23"/>
                <w:szCs w:val="23"/>
              </w:rPr>
              <w:t>0,0004</w:t>
            </w:r>
          </w:p>
        </w:tc>
        <w:tc>
          <w:tcPr>
            <w:tcW w:w="1524" w:type="dxa"/>
          </w:tcPr>
          <w:p w:rsidR="001425D8" w:rsidRDefault="001425D8" w:rsidP="00BD56DF">
            <w:pPr>
              <w:pStyle w:val="Default"/>
              <w:jc w:val="center"/>
              <w:rPr>
                <w:sz w:val="23"/>
                <w:szCs w:val="23"/>
              </w:rPr>
            </w:pPr>
            <w:r>
              <w:rPr>
                <w:sz w:val="23"/>
                <w:szCs w:val="23"/>
              </w:rPr>
              <w:t>0,0011</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Фінансова та страхова діяльність</w:t>
            </w:r>
          </w:p>
        </w:tc>
        <w:tc>
          <w:tcPr>
            <w:tcW w:w="1559" w:type="dxa"/>
          </w:tcPr>
          <w:p w:rsidR="001425D8" w:rsidRDefault="001425D8" w:rsidP="00BD56DF">
            <w:pPr>
              <w:pStyle w:val="Default"/>
              <w:jc w:val="center"/>
              <w:rPr>
                <w:sz w:val="23"/>
                <w:szCs w:val="23"/>
              </w:rPr>
            </w:pPr>
            <w:r>
              <w:rPr>
                <w:sz w:val="23"/>
                <w:szCs w:val="23"/>
              </w:rPr>
              <w:t>0,0010</w:t>
            </w:r>
          </w:p>
        </w:tc>
        <w:tc>
          <w:tcPr>
            <w:tcW w:w="1524" w:type="dxa"/>
          </w:tcPr>
          <w:p w:rsidR="001425D8" w:rsidRDefault="001425D8" w:rsidP="00BD56DF">
            <w:pPr>
              <w:pStyle w:val="Default"/>
              <w:jc w:val="center"/>
              <w:rPr>
                <w:sz w:val="23"/>
                <w:szCs w:val="23"/>
              </w:rPr>
            </w:pPr>
            <w:r>
              <w:rPr>
                <w:sz w:val="23"/>
                <w:szCs w:val="23"/>
              </w:rPr>
              <w:t>0,003</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Операції з нерухомим майном</w:t>
            </w:r>
          </w:p>
        </w:tc>
        <w:tc>
          <w:tcPr>
            <w:tcW w:w="1559" w:type="dxa"/>
          </w:tcPr>
          <w:p w:rsidR="001425D8" w:rsidRDefault="001425D8" w:rsidP="00BD56DF">
            <w:pPr>
              <w:pStyle w:val="Default"/>
              <w:jc w:val="center"/>
              <w:rPr>
                <w:sz w:val="23"/>
                <w:szCs w:val="23"/>
              </w:rPr>
            </w:pPr>
            <w:r>
              <w:rPr>
                <w:sz w:val="23"/>
                <w:szCs w:val="23"/>
              </w:rPr>
              <w:t>0,0013</w:t>
            </w:r>
          </w:p>
        </w:tc>
        <w:tc>
          <w:tcPr>
            <w:tcW w:w="1524" w:type="dxa"/>
          </w:tcPr>
          <w:p w:rsidR="001425D8" w:rsidRDefault="001425D8" w:rsidP="00BD56DF">
            <w:pPr>
              <w:pStyle w:val="Default"/>
              <w:jc w:val="center"/>
              <w:rPr>
                <w:sz w:val="23"/>
                <w:szCs w:val="23"/>
              </w:rPr>
            </w:pPr>
            <w:r>
              <w:rPr>
                <w:sz w:val="23"/>
                <w:szCs w:val="23"/>
              </w:rPr>
              <w:t>0,0035</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Професійна, наукова та технічна діяльність</w:t>
            </w:r>
          </w:p>
        </w:tc>
        <w:tc>
          <w:tcPr>
            <w:tcW w:w="1559" w:type="dxa"/>
          </w:tcPr>
          <w:p w:rsidR="001425D8" w:rsidRDefault="001425D8" w:rsidP="00BD56DF">
            <w:pPr>
              <w:pStyle w:val="Default"/>
              <w:jc w:val="center"/>
              <w:rPr>
                <w:sz w:val="23"/>
                <w:szCs w:val="23"/>
              </w:rPr>
            </w:pPr>
            <w:r>
              <w:rPr>
                <w:sz w:val="23"/>
                <w:szCs w:val="23"/>
              </w:rPr>
              <w:t>0,0071</w:t>
            </w:r>
          </w:p>
        </w:tc>
        <w:tc>
          <w:tcPr>
            <w:tcW w:w="1524" w:type="dxa"/>
          </w:tcPr>
          <w:p w:rsidR="001425D8" w:rsidRDefault="001425D8" w:rsidP="00BD56DF">
            <w:pPr>
              <w:pStyle w:val="Default"/>
              <w:jc w:val="center"/>
              <w:rPr>
                <w:sz w:val="23"/>
                <w:szCs w:val="23"/>
              </w:rPr>
            </w:pPr>
            <w:r>
              <w:rPr>
                <w:sz w:val="23"/>
                <w:szCs w:val="23"/>
              </w:rPr>
              <w:t>0,0190</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Діяльність у сфері адміністративного та допоміжного</w:t>
            </w:r>
            <w:r w:rsidR="00BD56DF">
              <w:rPr>
                <w:sz w:val="23"/>
                <w:szCs w:val="23"/>
              </w:rPr>
              <w:t xml:space="preserve"> </w:t>
            </w:r>
            <w:r>
              <w:rPr>
                <w:sz w:val="23"/>
                <w:szCs w:val="23"/>
              </w:rPr>
              <w:t>обслуговування</w:t>
            </w:r>
          </w:p>
        </w:tc>
        <w:tc>
          <w:tcPr>
            <w:tcW w:w="1559" w:type="dxa"/>
          </w:tcPr>
          <w:p w:rsidR="001425D8" w:rsidRDefault="001425D8" w:rsidP="00BD56DF">
            <w:pPr>
              <w:pStyle w:val="Default"/>
              <w:jc w:val="center"/>
              <w:rPr>
                <w:sz w:val="23"/>
                <w:szCs w:val="23"/>
              </w:rPr>
            </w:pPr>
            <w:r>
              <w:rPr>
                <w:sz w:val="23"/>
                <w:szCs w:val="23"/>
              </w:rPr>
              <w:t>0,0001</w:t>
            </w:r>
          </w:p>
        </w:tc>
        <w:tc>
          <w:tcPr>
            <w:tcW w:w="1524" w:type="dxa"/>
          </w:tcPr>
          <w:p w:rsidR="001425D8" w:rsidRDefault="001425D8" w:rsidP="00BD56DF">
            <w:pPr>
              <w:pStyle w:val="Default"/>
              <w:jc w:val="center"/>
              <w:rPr>
                <w:sz w:val="23"/>
                <w:szCs w:val="23"/>
              </w:rPr>
            </w:pPr>
            <w:r>
              <w:rPr>
                <w:sz w:val="23"/>
                <w:szCs w:val="23"/>
              </w:rPr>
              <w:t>0,0003</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Державне управління й оборона; обов’язкове соціальне страхування</w:t>
            </w:r>
          </w:p>
        </w:tc>
        <w:tc>
          <w:tcPr>
            <w:tcW w:w="1559" w:type="dxa"/>
          </w:tcPr>
          <w:p w:rsidR="001425D8" w:rsidRDefault="001425D8" w:rsidP="00BD56DF">
            <w:pPr>
              <w:pStyle w:val="Default"/>
              <w:jc w:val="center"/>
              <w:rPr>
                <w:sz w:val="23"/>
                <w:szCs w:val="23"/>
              </w:rPr>
            </w:pPr>
            <w:r>
              <w:rPr>
                <w:sz w:val="23"/>
                <w:szCs w:val="23"/>
              </w:rPr>
              <w:t>0,4802</w:t>
            </w:r>
          </w:p>
        </w:tc>
        <w:tc>
          <w:tcPr>
            <w:tcW w:w="1524" w:type="dxa"/>
          </w:tcPr>
          <w:p w:rsidR="001425D8" w:rsidRDefault="001425D8" w:rsidP="00BD56DF">
            <w:pPr>
              <w:pStyle w:val="Default"/>
              <w:jc w:val="center"/>
              <w:rPr>
                <w:sz w:val="23"/>
                <w:szCs w:val="23"/>
              </w:rPr>
            </w:pPr>
            <w:r>
              <w:rPr>
                <w:sz w:val="23"/>
                <w:szCs w:val="23"/>
              </w:rPr>
              <w:t>1,286</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Освіта</w:t>
            </w:r>
          </w:p>
        </w:tc>
        <w:tc>
          <w:tcPr>
            <w:tcW w:w="1559" w:type="dxa"/>
          </w:tcPr>
          <w:p w:rsidR="001425D8" w:rsidRDefault="001425D8" w:rsidP="00BD56DF">
            <w:pPr>
              <w:pStyle w:val="Default"/>
              <w:jc w:val="center"/>
              <w:rPr>
                <w:sz w:val="23"/>
                <w:szCs w:val="23"/>
              </w:rPr>
            </w:pPr>
            <w:r>
              <w:rPr>
                <w:sz w:val="23"/>
                <w:szCs w:val="23"/>
              </w:rPr>
              <w:t>0,0328</w:t>
            </w:r>
          </w:p>
        </w:tc>
        <w:tc>
          <w:tcPr>
            <w:tcW w:w="1524" w:type="dxa"/>
          </w:tcPr>
          <w:p w:rsidR="001425D8" w:rsidRDefault="001425D8" w:rsidP="00BD56DF">
            <w:pPr>
              <w:pStyle w:val="Default"/>
              <w:jc w:val="center"/>
              <w:rPr>
                <w:sz w:val="23"/>
                <w:szCs w:val="23"/>
              </w:rPr>
            </w:pPr>
            <w:r>
              <w:rPr>
                <w:sz w:val="23"/>
                <w:szCs w:val="23"/>
              </w:rPr>
              <w:t>0,088</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Охорона здоров’я та надання соціальної допомоги</w:t>
            </w:r>
          </w:p>
        </w:tc>
        <w:tc>
          <w:tcPr>
            <w:tcW w:w="1559" w:type="dxa"/>
          </w:tcPr>
          <w:p w:rsidR="001425D8" w:rsidRDefault="001425D8" w:rsidP="00BD56DF">
            <w:pPr>
              <w:pStyle w:val="Default"/>
              <w:jc w:val="center"/>
              <w:rPr>
                <w:sz w:val="23"/>
                <w:szCs w:val="23"/>
              </w:rPr>
            </w:pPr>
            <w:r>
              <w:rPr>
                <w:sz w:val="23"/>
                <w:szCs w:val="23"/>
              </w:rPr>
              <w:t>0,1858</w:t>
            </w:r>
          </w:p>
        </w:tc>
        <w:tc>
          <w:tcPr>
            <w:tcW w:w="1524" w:type="dxa"/>
          </w:tcPr>
          <w:p w:rsidR="001425D8" w:rsidRDefault="001425D8" w:rsidP="00BD56DF">
            <w:pPr>
              <w:pStyle w:val="Default"/>
              <w:jc w:val="center"/>
              <w:rPr>
                <w:sz w:val="23"/>
                <w:szCs w:val="23"/>
              </w:rPr>
            </w:pPr>
            <w:r>
              <w:rPr>
                <w:sz w:val="23"/>
                <w:szCs w:val="23"/>
              </w:rPr>
              <w:t>0,497</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Мистецтво, спорт, розваги та відпочинок</w:t>
            </w:r>
          </w:p>
        </w:tc>
        <w:tc>
          <w:tcPr>
            <w:tcW w:w="1559" w:type="dxa"/>
          </w:tcPr>
          <w:p w:rsidR="001425D8" w:rsidRDefault="001425D8" w:rsidP="00BD56DF">
            <w:pPr>
              <w:pStyle w:val="Default"/>
              <w:jc w:val="center"/>
              <w:rPr>
                <w:sz w:val="23"/>
                <w:szCs w:val="23"/>
              </w:rPr>
            </w:pPr>
            <w:r>
              <w:rPr>
                <w:sz w:val="23"/>
                <w:szCs w:val="23"/>
              </w:rPr>
              <w:t>0,0131</w:t>
            </w:r>
          </w:p>
        </w:tc>
        <w:tc>
          <w:tcPr>
            <w:tcW w:w="1524" w:type="dxa"/>
          </w:tcPr>
          <w:p w:rsidR="001425D8" w:rsidRDefault="001425D8" w:rsidP="00BD56DF">
            <w:pPr>
              <w:pStyle w:val="Default"/>
              <w:jc w:val="center"/>
              <w:rPr>
                <w:sz w:val="23"/>
                <w:szCs w:val="23"/>
              </w:rPr>
            </w:pPr>
            <w:r>
              <w:rPr>
                <w:sz w:val="23"/>
                <w:szCs w:val="23"/>
              </w:rPr>
              <w:t>0,0351</w:t>
            </w:r>
          </w:p>
        </w:tc>
      </w:tr>
      <w:tr w:rsidR="001425D8" w:rsidRPr="00135EDE" w:rsidTr="00135EDE">
        <w:tc>
          <w:tcPr>
            <w:tcW w:w="817" w:type="dxa"/>
          </w:tcPr>
          <w:p w:rsidR="001425D8" w:rsidRPr="00135EDE" w:rsidRDefault="001425D8" w:rsidP="00CE3123">
            <w:pPr>
              <w:pStyle w:val="a8"/>
              <w:ind w:left="0"/>
              <w:jc w:val="both"/>
              <w:rPr>
                <w:rFonts w:ascii="Times New Roman" w:hAnsi="Times New Roman" w:cs="Times New Roman"/>
                <w:sz w:val="24"/>
                <w:szCs w:val="24"/>
              </w:rPr>
            </w:pPr>
          </w:p>
        </w:tc>
        <w:tc>
          <w:tcPr>
            <w:tcW w:w="6237" w:type="dxa"/>
          </w:tcPr>
          <w:p w:rsidR="001425D8" w:rsidRDefault="001425D8">
            <w:pPr>
              <w:pStyle w:val="Default"/>
              <w:rPr>
                <w:sz w:val="23"/>
                <w:szCs w:val="23"/>
              </w:rPr>
            </w:pPr>
            <w:r>
              <w:rPr>
                <w:sz w:val="23"/>
                <w:szCs w:val="23"/>
              </w:rPr>
              <w:t>Надання інших видів послуг</w:t>
            </w:r>
          </w:p>
        </w:tc>
        <w:tc>
          <w:tcPr>
            <w:tcW w:w="1559" w:type="dxa"/>
          </w:tcPr>
          <w:p w:rsidR="001425D8" w:rsidRDefault="001425D8" w:rsidP="00BD56DF">
            <w:pPr>
              <w:pStyle w:val="Default"/>
              <w:jc w:val="center"/>
              <w:rPr>
                <w:sz w:val="23"/>
                <w:szCs w:val="23"/>
              </w:rPr>
            </w:pPr>
            <w:r>
              <w:rPr>
                <w:sz w:val="23"/>
                <w:szCs w:val="23"/>
              </w:rPr>
              <w:t>-</w:t>
            </w:r>
          </w:p>
        </w:tc>
        <w:tc>
          <w:tcPr>
            <w:tcW w:w="1524" w:type="dxa"/>
          </w:tcPr>
          <w:p w:rsidR="001425D8" w:rsidRDefault="001425D8" w:rsidP="00BD56DF">
            <w:pPr>
              <w:pStyle w:val="Default"/>
              <w:jc w:val="center"/>
              <w:rPr>
                <w:sz w:val="23"/>
                <w:szCs w:val="23"/>
              </w:rPr>
            </w:pPr>
            <w:r>
              <w:rPr>
                <w:sz w:val="23"/>
                <w:szCs w:val="23"/>
              </w:rPr>
              <w:t>-</w:t>
            </w:r>
          </w:p>
        </w:tc>
      </w:tr>
    </w:tbl>
    <w:p w:rsidR="008F2BB0" w:rsidRDefault="008F2BB0" w:rsidP="00A32776">
      <w:pPr>
        <w:pStyle w:val="a8"/>
        <w:spacing w:after="0" w:line="240" w:lineRule="auto"/>
        <w:ind w:left="0" w:firstLine="567"/>
        <w:jc w:val="both"/>
        <w:rPr>
          <w:rFonts w:ascii="Times New Roman" w:hAnsi="Times New Roman" w:cs="Times New Roman"/>
          <w:sz w:val="28"/>
        </w:rPr>
      </w:pPr>
    </w:p>
    <w:p w:rsidR="00A32776" w:rsidRPr="00A32776" w:rsidRDefault="00A32776" w:rsidP="00A32776">
      <w:pPr>
        <w:pStyle w:val="a8"/>
        <w:spacing w:after="0" w:line="240" w:lineRule="auto"/>
        <w:ind w:left="0" w:firstLine="567"/>
        <w:jc w:val="both"/>
        <w:rPr>
          <w:rFonts w:ascii="Times New Roman" w:hAnsi="Times New Roman" w:cs="Times New Roman"/>
          <w:sz w:val="28"/>
        </w:rPr>
      </w:pPr>
      <w:r w:rsidRPr="00A32776">
        <w:rPr>
          <w:rFonts w:ascii="Times New Roman" w:hAnsi="Times New Roman" w:cs="Times New Roman"/>
          <w:sz w:val="28"/>
        </w:rPr>
        <w:t xml:space="preserve">Однією з основних причин забруднення атмосферного повітря є низький рівень оснащення джерел викидів пилогазоочисним обладнанням. Значно впливає на забруднення атмосфери відсутність установок по вловлюванню газоподібних сполук, а саме: </w:t>
      </w:r>
      <w:proofErr w:type="spellStart"/>
      <w:r w:rsidRPr="00A32776">
        <w:rPr>
          <w:rFonts w:ascii="Times New Roman" w:hAnsi="Times New Roman" w:cs="Times New Roman"/>
          <w:sz w:val="28"/>
        </w:rPr>
        <w:t>діоксиду</w:t>
      </w:r>
      <w:proofErr w:type="spellEnd"/>
      <w:r w:rsidRPr="00A32776">
        <w:rPr>
          <w:rFonts w:ascii="Times New Roman" w:hAnsi="Times New Roman" w:cs="Times New Roman"/>
          <w:sz w:val="28"/>
        </w:rPr>
        <w:t xml:space="preserve"> сірки, </w:t>
      </w:r>
      <w:proofErr w:type="spellStart"/>
      <w:r w:rsidRPr="00A32776">
        <w:rPr>
          <w:rFonts w:ascii="Times New Roman" w:hAnsi="Times New Roman" w:cs="Times New Roman"/>
          <w:sz w:val="28"/>
        </w:rPr>
        <w:t>діоксиду</w:t>
      </w:r>
      <w:proofErr w:type="spellEnd"/>
      <w:r w:rsidRPr="00A32776">
        <w:rPr>
          <w:rFonts w:ascii="Times New Roman" w:hAnsi="Times New Roman" w:cs="Times New Roman"/>
          <w:sz w:val="28"/>
        </w:rPr>
        <w:t xml:space="preserve"> азоту, оксиду вуглецю, летючих органічних сполук та інших. Зазначені речовини надходять в повітря від котелень, які працюють на кам'яному вугіллі, добування та переробки корисних копалин, виробництва мінеральної продукції, діяльності виробництва та оброблення деревини та інше.</w:t>
      </w:r>
    </w:p>
    <w:p w:rsidR="00135EDE" w:rsidRDefault="00A32776" w:rsidP="00A32776">
      <w:pPr>
        <w:pStyle w:val="a8"/>
        <w:spacing w:after="0" w:line="240" w:lineRule="auto"/>
        <w:ind w:left="0" w:firstLine="567"/>
        <w:jc w:val="both"/>
        <w:rPr>
          <w:rFonts w:ascii="Times New Roman" w:hAnsi="Times New Roman" w:cs="Times New Roman"/>
          <w:sz w:val="28"/>
        </w:rPr>
      </w:pPr>
      <w:r w:rsidRPr="00A32776">
        <w:rPr>
          <w:rFonts w:ascii="Times New Roman" w:hAnsi="Times New Roman" w:cs="Times New Roman"/>
          <w:sz w:val="28"/>
        </w:rPr>
        <w:t>Одним із напрямків зменшення надходження забруднюючих речовин в атмосферне повітря є</w:t>
      </w:r>
      <w:r w:rsidR="005257DC">
        <w:rPr>
          <w:rFonts w:ascii="Times New Roman" w:hAnsi="Times New Roman" w:cs="Times New Roman"/>
          <w:sz w:val="28"/>
        </w:rPr>
        <w:t>,</w:t>
      </w:r>
      <w:r w:rsidRPr="00A32776">
        <w:rPr>
          <w:rFonts w:ascii="Times New Roman" w:hAnsi="Times New Roman" w:cs="Times New Roman"/>
          <w:sz w:val="28"/>
        </w:rPr>
        <w:t xml:space="preserve"> насамперед виконання природоохоронних заходів та впровадження сучасних технологій очищення промислових викидів.</w:t>
      </w:r>
    </w:p>
    <w:p w:rsidR="00A32776" w:rsidRDefault="00B942EA" w:rsidP="00A32776">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У 2019 році </w:t>
      </w:r>
      <w:r w:rsidR="00A32776" w:rsidRPr="00A32776">
        <w:rPr>
          <w:rFonts w:ascii="Times New Roman" w:hAnsi="Times New Roman" w:cs="Times New Roman"/>
          <w:sz w:val="28"/>
        </w:rPr>
        <w:t>ДУ «Луганський обласний лабораторний центр МОЗ України</w:t>
      </w:r>
      <w:r>
        <w:rPr>
          <w:rFonts w:ascii="Times New Roman" w:hAnsi="Times New Roman" w:cs="Times New Roman"/>
          <w:sz w:val="28"/>
        </w:rPr>
        <w:t>»</w:t>
      </w:r>
      <w:r w:rsidR="00A32776" w:rsidRPr="00A32776">
        <w:rPr>
          <w:rFonts w:ascii="Times New Roman" w:hAnsi="Times New Roman" w:cs="Times New Roman"/>
          <w:sz w:val="28"/>
        </w:rPr>
        <w:t xml:space="preserve"> </w:t>
      </w:r>
      <w:r w:rsidRPr="00A32776">
        <w:rPr>
          <w:rFonts w:ascii="Times New Roman" w:hAnsi="Times New Roman" w:cs="Times New Roman"/>
          <w:sz w:val="28"/>
        </w:rPr>
        <w:t>здійснював</w:t>
      </w:r>
      <w:r w:rsidR="005257DC">
        <w:rPr>
          <w:rFonts w:ascii="Times New Roman" w:hAnsi="Times New Roman" w:cs="Times New Roman"/>
          <w:sz w:val="28"/>
        </w:rPr>
        <w:t>ся</w:t>
      </w:r>
      <w:r w:rsidRPr="00A32776">
        <w:rPr>
          <w:rFonts w:ascii="Times New Roman" w:hAnsi="Times New Roman" w:cs="Times New Roman"/>
          <w:sz w:val="28"/>
        </w:rPr>
        <w:t xml:space="preserve"> </w:t>
      </w:r>
      <w:r w:rsidR="00A32776" w:rsidRPr="00A32776">
        <w:rPr>
          <w:rFonts w:ascii="Times New Roman" w:hAnsi="Times New Roman" w:cs="Times New Roman"/>
          <w:sz w:val="28"/>
        </w:rPr>
        <w:t>моніторинг за станом атмосферного повітря в 12 населених пунктах на 7-и адміністративних територіях області на 14 постах спостережень, із них 4-х стаціонарних постах. Усього в населених пунктах області у 2019</w:t>
      </w:r>
      <w:r>
        <w:rPr>
          <w:rFonts w:ascii="Times New Roman" w:hAnsi="Times New Roman" w:cs="Times New Roman"/>
          <w:sz w:val="28"/>
        </w:rPr>
        <w:t xml:space="preserve"> </w:t>
      </w:r>
      <w:r w:rsidR="00A32776" w:rsidRPr="00A32776">
        <w:rPr>
          <w:rFonts w:ascii="Times New Roman" w:hAnsi="Times New Roman" w:cs="Times New Roman"/>
          <w:sz w:val="28"/>
        </w:rPr>
        <w:t>р. було досліджено 8507 проб атмосферного повітря.</w:t>
      </w:r>
    </w:p>
    <w:p w:rsidR="00A32776" w:rsidRPr="00A32776" w:rsidRDefault="00A32776" w:rsidP="00A32776">
      <w:pPr>
        <w:pStyle w:val="a8"/>
        <w:spacing w:after="0" w:line="240" w:lineRule="auto"/>
        <w:ind w:left="0" w:firstLine="567"/>
        <w:jc w:val="both"/>
        <w:rPr>
          <w:rFonts w:ascii="Times New Roman" w:hAnsi="Times New Roman" w:cs="Times New Roman"/>
          <w:sz w:val="28"/>
        </w:rPr>
      </w:pPr>
      <w:r w:rsidRPr="00A32776">
        <w:rPr>
          <w:rFonts w:ascii="Times New Roman" w:hAnsi="Times New Roman" w:cs="Times New Roman"/>
          <w:sz w:val="28"/>
        </w:rPr>
        <w:t>Перевищення ГДК забруднюючих речовин в атмосферному повітрі, встановлених Гігієнічним регламентом «Гранично допустимі концентрації хімічних і біологічних речовин в атмосферному повітрі населених місць», затвердженим наказом МОЗ України 14 січня 2020р. № 52 виявлено в 3,6 % досліджених проб (2018р.- 2,9 % проб). На стаціонарних постах питома вага проб з перевищенням ГДК виявлена в 4,5 % досліджених проб (2018р.-3,4 %).</w:t>
      </w:r>
    </w:p>
    <w:p w:rsidR="00A32776" w:rsidRDefault="00A32776" w:rsidP="00A32776">
      <w:pPr>
        <w:pStyle w:val="a8"/>
        <w:spacing w:after="0" w:line="240" w:lineRule="auto"/>
        <w:ind w:left="0" w:firstLine="567"/>
        <w:jc w:val="both"/>
        <w:rPr>
          <w:rFonts w:ascii="Times New Roman" w:hAnsi="Times New Roman" w:cs="Times New Roman"/>
          <w:sz w:val="28"/>
        </w:rPr>
      </w:pPr>
      <w:r w:rsidRPr="00A32776">
        <w:rPr>
          <w:rFonts w:ascii="Times New Roman" w:hAnsi="Times New Roman" w:cs="Times New Roman"/>
          <w:sz w:val="28"/>
        </w:rPr>
        <w:lastRenderedPageBreak/>
        <w:t>В цілому по області до числа хімічних речовин, які в атмосферному повітрі перевищували гранично допустимі концентрації відносились сірчистий ангідрид (18,1 % нестандартних проб)</w:t>
      </w:r>
      <w:r w:rsidR="00267834">
        <w:rPr>
          <w:rFonts w:ascii="Times New Roman" w:hAnsi="Times New Roman" w:cs="Times New Roman"/>
          <w:sz w:val="28"/>
        </w:rPr>
        <w:t>,</w:t>
      </w:r>
      <w:r w:rsidRPr="00A32776">
        <w:rPr>
          <w:rFonts w:ascii="Times New Roman" w:hAnsi="Times New Roman" w:cs="Times New Roman"/>
          <w:sz w:val="28"/>
        </w:rPr>
        <w:t xml:space="preserve"> пил недиференційований за складом (2,41 % нестандартних проб), формальдегід (1,7 % нестандартних проб), феноли (0,77 % нестандартних проб), азоту </w:t>
      </w:r>
      <w:proofErr w:type="spellStart"/>
      <w:r w:rsidRPr="00A32776">
        <w:rPr>
          <w:rFonts w:ascii="Times New Roman" w:hAnsi="Times New Roman" w:cs="Times New Roman"/>
          <w:sz w:val="28"/>
        </w:rPr>
        <w:t>діоксид</w:t>
      </w:r>
      <w:proofErr w:type="spellEnd"/>
      <w:r w:rsidRPr="00A32776">
        <w:rPr>
          <w:rFonts w:ascii="Times New Roman" w:hAnsi="Times New Roman" w:cs="Times New Roman"/>
          <w:sz w:val="28"/>
        </w:rPr>
        <w:t xml:space="preserve"> (0,28 % нестандартних проб).</w:t>
      </w:r>
    </w:p>
    <w:p w:rsidR="00C727DF" w:rsidRDefault="00C727DF" w:rsidP="00A32776">
      <w:pPr>
        <w:pStyle w:val="a8"/>
        <w:spacing w:after="0" w:line="240" w:lineRule="auto"/>
        <w:ind w:left="0" w:firstLine="567"/>
        <w:jc w:val="both"/>
        <w:rPr>
          <w:rFonts w:ascii="Times New Roman" w:hAnsi="Times New Roman" w:cs="Times New Roman"/>
          <w:sz w:val="28"/>
        </w:rPr>
      </w:pPr>
    </w:p>
    <w:p w:rsidR="00C727DF" w:rsidRDefault="00C727DF" w:rsidP="00C727DF">
      <w:pPr>
        <w:pStyle w:val="a8"/>
        <w:spacing w:after="0" w:line="240" w:lineRule="auto"/>
        <w:ind w:firstLine="567"/>
        <w:jc w:val="center"/>
        <w:rPr>
          <w:rFonts w:ascii="Times New Roman" w:hAnsi="Times New Roman" w:cs="Times New Roman"/>
          <w:b/>
          <w:sz w:val="28"/>
        </w:rPr>
      </w:pPr>
      <w:r w:rsidRPr="00C727DF">
        <w:rPr>
          <w:rFonts w:ascii="Times New Roman" w:hAnsi="Times New Roman" w:cs="Times New Roman"/>
          <w:b/>
          <w:sz w:val="28"/>
        </w:rPr>
        <w:t>Ймовірний стан атмосферного повітря, якщо документ державного планування не буде затверджено</w:t>
      </w:r>
    </w:p>
    <w:p w:rsidR="00154A9E" w:rsidRPr="00C727DF" w:rsidRDefault="00154A9E" w:rsidP="00C727DF">
      <w:pPr>
        <w:pStyle w:val="a8"/>
        <w:spacing w:after="0" w:line="240" w:lineRule="auto"/>
        <w:ind w:firstLine="567"/>
        <w:jc w:val="center"/>
        <w:rPr>
          <w:rFonts w:ascii="Times New Roman" w:hAnsi="Times New Roman" w:cs="Times New Roman"/>
          <w:b/>
          <w:sz w:val="28"/>
        </w:rPr>
      </w:pPr>
    </w:p>
    <w:p w:rsidR="00C727DF" w:rsidRDefault="00C727DF" w:rsidP="00C727DF">
      <w:pPr>
        <w:pStyle w:val="a8"/>
        <w:spacing w:after="0" w:line="240" w:lineRule="auto"/>
        <w:ind w:left="0" w:firstLine="567"/>
        <w:jc w:val="both"/>
        <w:rPr>
          <w:rFonts w:ascii="Times New Roman" w:hAnsi="Times New Roman" w:cs="Times New Roman"/>
          <w:sz w:val="28"/>
        </w:rPr>
      </w:pPr>
      <w:r w:rsidRPr="00C727DF">
        <w:rPr>
          <w:rFonts w:ascii="Times New Roman" w:hAnsi="Times New Roman" w:cs="Times New Roman"/>
          <w:sz w:val="28"/>
        </w:rPr>
        <w:t>Виконання заходів Програми не спричинятиме техногенне навантаження на атмосферне повітря в межах області. Можна зробити висновок, що у разі не затвердження Програми стан атмосферного повітря залишиться не змінним.</w:t>
      </w:r>
    </w:p>
    <w:p w:rsidR="00A32776" w:rsidRPr="00CE3123" w:rsidRDefault="00A32776" w:rsidP="00A32776">
      <w:pPr>
        <w:pStyle w:val="a8"/>
        <w:spacing w:after="0" w:line="240" w:lineRule="auto"/>
        <w:ind w:left="0" w:firstLine="567"/>
        <w:jc w:val="both"/>
        <w:rPr>
          <w:rFonts w:ascii="Times New Roman" w:hAnsi="Times New Roman" w:cs="Times New Roman"/>
          <w:sz w:val="28"/>
        </w:rPr>
      </w:pPr>
    </w:p>
    <w:p w:rsidR="00B17156" w:rsidRDefault="00545AEA" w:rsidP="00154A9E">
      <w:pPr>
        <w:pStyle w:val="a8"/>
        <w:numPr>
          <w:ilvl w:val="1"/>
          <w:numId w:val="2"/>
        </w:numPr>
        <w:spacing w:after="0" w:line="240" w:lineRule="auto"/>
        <w:ind w:left="0" w:firstLine="567"/>
        <w:jc w:val="both"/>
        <w:rPr>
          <w:rFonts w:ascii="Times New Roman" w:hAnsi="Times New Roman" w:cs="Times New Roman"/>
          <w:b/>
          <w:sz w:val="28"/>
        </w:rPr>
      </w:pPr>
      <w:r w:rsidRPr="00545AEA">
        <w:rPr>
          <w:rFonts w:ascii="Times New Roman" w:hAnsi="Times New Roman" w:cs="Times New Roman"/>
          <w:b/>
          <w:sz w:val="28"/>
        </w:rPr>
        <w:t>Стан водних ресурсів</w:t>
      </w:r>
      <w:r w:rsidR="00154A9E">
        <w:rPr>
          <w:rFonts w:ascii="Times New Roman" w:hAnsi="Times New Roman" w:cs="Times New Roman"/>
          <w:b/>
          <w:sz w:val="28"/>
        </w:rPr>
        <w:t>.</w:t>
      </w:r>
    </w:p>
    <w:p w:rsidR="00545AEA" w:rsidRDefault="00545AEA" w:rsidP="00545AEA">
      <w:pPr>
        <w:pStyle w:val="a8"/>
        <w:spacing w:after="0" w:line="240" w:lineRule="auto"/>
        <w:ind w:left="0" w:firstLine="567"/>
        <w:rPr>
          <w:rFonts w:ascii="Times New Roman" w:hAnsi="Times New Roman" w:cs="Times New Roman"/>
          <w:b/>
          <w:sz w:val="28"/>
        </w:rPr>
      </w:pPr>
    </w:p>
    <w:p w:rsidR="00333255" w:rsidRP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У гідрографічному відношенні вся територія Луганщини на підконтрольній території України розташована у межах басейну Сіверського Дінця – основної і найбільшої річки області, яка із загальної довжини 1073 км на протязі 233,9 км перетинає область з північно-західного у південно-східному напрямку.</w:t>
      </w:r>
    </w:p>
    <w:p w:rsidR="00545AEA"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 xml:space="preserve">Загальна водозбірна площа річок басейну Сіверського Дінця на </w:t>
      </w:r>
      <w:proofErr w:type="spellStart"/>
      <w:r w:rsidRPr="00333255">
        <w:rPr>
          <w:rFonts w:ascii="Times New Roman" w:hAnsi="Times New Roman" w:cs="Times New Roman"/>
          <w:sz w:val="28"/>
        </w:rPr>
        <w:t>пiдконтрольнiй</w:t>
      </w:r>
      <w:proofErr w:type="spellEnd"/>
      <w:r w:rsidRPr="00333255">
        <w:rPr>
          <w:rFonts w:ascii="Times New Roman" w:hAnsi="Times New Roman" w:cs="Times New Roman"/>
          <w:sz w:val="28"/>
        </w:rPr>
        <w:t xml:space="preserve"> території становить 18,07 тис. кв. км, де протікають 5 з 7-ми середніх річок, це лівобережні притоки – Красна, </w:t>
      </w:r>
      <w:proofErr w:type="spellStart"/>
      <w:r w:rsidRPr="00333255">
        <w:rPr>
          <w:rFonts w:ascii="Times New Roman" w:hAnsi="Times New Roman" w:cs="Times New Roman"/>
          <w:sz w:val="28"/>
        </w:rPr>
        <w:t>Айдар</w:t>
      </w:r>
      <w:proofErr w:type="spellEnd"/>
      <w:r w:rsidRPr="00333255">
        <w:rPr>
          <w:rFonts w:ascii="Times New Roman" w:hAnsi="Times New Roman" w:cs="Times New Roman"/>
          <w:sz w:val="28"/>
        </w:rPr>
        <w:t xml:space="preserve">, Деркул, Повна та верхня частина </w:t>
      </w:r>
      <w:proofErr w:type="spellStart"/>
      <w:r w:rsidRPr="00333255">
        <w:rPr>
          <w:rFonts w:ascii="Times New Roman" w:hAnsi="Times New Roman" w:cs="Times New Roman"/>
          <w:sz w:val="28"/>
        </w:rPr>
        <w:t>Луганки</w:t>
      </w:r>
      <w:proofErr w:type="spellEnd"/>
      <w:r w:rsidRPr="00333255">
        <w:rPr>
          <w:rFonts w:ascii="Times New Roman" w:hAnsi="Times New Roman" w:cs="Times New Roman"/>
          <w:sz w:val="28"/>
        </w:rPr>
        <w:t>, загальною довжиною 514,5 км, та 50 малих річок загальною довжиною 1150,6 км. Крім цього протікає 50 струмків загальною довжиною 183,3 км.</w:t>
      </w:r>
    </w:p>
    <w:p w:rsid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Щорічно на гідрографічній мережі підконтрольної території області може формуватись поверхневих вод від 305,14 млн</w:t>
      </w:r>
      <w:r w:rsidR="0052117F">
        <w:rPr>
          <w:rFonts w:ascii="Times New Roman" w:hAnsi="Times New Roman" w:cs="Times New Roman"/>
          <w:sz w:val="28"/>
        </w:rPr>
        <w:t xml:space="preserve"> </w:t>
      </w:r>
      <w:r w:rsidRPr="00333255">
        <w:rPr>
          <w:rFonts w:ascii="Times New Roman" w:hAnsi="Times New Roman" w:cs="Times New Roman"/>
          <w:sz w:val="28"/>
        </w:rPr>
        <w:t>м3 в маловодний рік 95 % забезпеченості до 403,33 млн</w:t>
      </w:r>
      <w:r w:rsidR="0052117F">
        <w:rPr>
          <w:rFonts w:ascii="Times New Roman" w:hAnsi="Times New Roman" w:cs="Times New Roman"/>
          <w:sz w:val="28"/>
        </w:rPr>
        <w:t xml:space="preserve"> </w:t>
      </w:r>
      <w:r w:rsidRPr="00333255">
        <w:rPr>
          <w:rFonts w:ascii="Times New Roman" w:hAnsi="Times New Roman" w:cs="Times New Roman"/>
          <w:sz w:val="28"/>
        </w:rPr>
        <w:t>м3 в середній маловодний рік та 868,21 млн</w:t>
      </w:r>
      <w:r w:rsidR="0052117F">
        <w:rPr>
          <w:rFonts w:ascii="Times New Roman" w:hAnsi="Times New Roman" w:cs="Times New Roman"/>
          <w:sz w:val="28"/>
        </w:rPr>
        <w:t xml:space="preserve"> </w:t>
      </w:r>
      <w:r w:rsidRPr="00333255">
        <w:rPr>
          <w:rFonts w:ascii="Times New Roman" w:hAnsi="Times New Roman" w:cs="Times New Roman"/>
          <w:sz w:val="28"/>
        </w:rPr>
        <w:t>м3 в середній по водності рік, з яких 50-80 % припадає на період весняної повені та 18-30 % на літній період — це місцеві водні ресурси.</w:t>
      </w:r>
    </w:p>
    <w:p w:rsidR="001305B3" w:rsidRPr="004A2838" w:rsidRDefault="004A2838" w:rsidP="00333255">
      <w:pPr>
        <w:pStyle w:val="a8"/>
        <w:spacing w:after="0" w:line="240" w:lineRule="auto"/>
        <w:ind w:left="0" w:firstLine="567"/>
        <w:jc w:val="both"/>
        <w:rPr>
          <w:rFonts w:ascii="Times New Roman" w:hAnsi="Times New Roman" w:cs="Times New Roman"/>
          <w:sz w:val="28"/>
        </w:rPr>
      </w:pPr>
      <w:r w:rsidRPr="004A2838">
        <w:rPr>
          <w:rFonts w:ascii="Times New Roman" w:hAnsi="Times New Roman" w:cs="Times New Roman"/>
          <w:sz w:val="28"/>
        </w:rPr>
        <w:t>Н</w:t>
      </w:r>
      <w:r w:rsidR="001305B3" w:rsidRPr="004A2838">
        <w:rPr>
          <w:rFonts w:ascii="Times New Roman" w:hAnsi="Times New Roman" w:cs="Times New Roman"/>
          <w:sz w:val="28"/>
        </w:rPr>
        <w:t>а 01.01.2020 в Луганській області нараховується 52 ділянки родовищ питних підземних вод, експлуатаційні запаси яких складають 1228,937 тис. м3/добу за категоріями А+В+С1.</w:t>
      </w:r>
    </w:p>
    <w:p w:rsidR="001305B3" w:rsidRPr="004A2838" w:rsidRDefault="003B7B32" w:rsidP="00333255">
      <w:pPr>
        <w:pStyle w:val="a8"/>
        <w:spacing w:after="0" w:line="240" w:lineRule="auto"/>
        <w:ind w:left="0" w:firstLine="567"/>
        <w:jc w:val="both"/>
        <w:rPr>
          <w:rFonts w:ascii="Times New Roman" w:hAnsi="Times New Roman" w:cs="Times New Roman"/>
          <w:sz w:val="28"/>
        </w:rPr>
      </w:pPr>
      <w:r w:rsidRPr="004A2838">
        <w:rPr>
          <w:rFonts w:ascii="Times New Roman" w:hAnsi="Times New Roman" w:cs="Times New Roman"/>
          <w:sz w:val="28"/>
        </w:rPr>
        <w:t xml:space="preserve">Водопостачання Луганської області будується в основному на використанні підземних вод тріщинуватої зони мергельно-крейдової товщі </w:t>
      </w:r>
      <w:proofErr w:type="spellStart"/>
      <w:r w:rsidRPr="004A2838">
        <w:rPr>
          <w:rFonts w:ascii="Times New Roman" w:hAnsi="Times New Roman" w:cs="Times New Roman"/>
          <w:sz w:val="28"/>
        </w:rPr>
        <w:t>верхньокрейдового</w:t>
      </w:r>
      <w:proofErr w:type="spellEnd"/>
      <w:r w:rsidRPr="004A2838">
        <w:rPr>
          <w:rFonts w:ascii="Times New Roman" w:hAnsi="Times New Roman" w:cs="Times New Roman"/>
          <w:sz w:val="28"/>
        </w:rPr>
        <w:t xml:space="preserve"> віку. В басейні р. Сіверський Донець експлуатується 19 великих питних водозаборів.</w:t>
      </w:r>
    </w:p>
    <w:p w:rsidR="003B7B32" w:rsidRPr="004A2838" w:rsidRDefault="003B7B32" w:rsidP="00333255">
      <w:pPr>
        <w:pStyle w:val="a8"/>
        <w:spacing w:after="0" w:line="240" w:lineRule="auto"/>
        <w:ind w:left="0" w:firstLine="567"/>
        <w:jc w:val="both"/>
        <w:rPr>
          <w:rFonts w:ascii="Times New Roman" w:hAnsi="Times New Roman" w:cs="Times New Roman"/>
          <w:sz w:val="28"/>
        </w:rPr>
      </w:pPr>
      <w:r w:rsidRPr="004A2838">
        <w:rPr>
          <w:rFonts w:ascii="Times New Roman" w:hAnsi="Times New Roman" w:cs="Times New Roman"/>
          <w:sz w:val="28"/>
        </w:rPr>
        <w:t>У 2019 році підземні води Луганської області використовувались для різних потреб у кількості 83,521 тис.м3/добу, із них на господарсько-питні цілі – 76,354 тис. м3/добу; на виробничо-технічні потреби – 6,817 тис. м3/добу; на сільськогосподарське водопостачання – 0,006 м3/добу; на розлив – 0 тис. м3/добу; на зрошення – 0 тис. м3/добу. Скидалось без використання 0,344 тис. м3/добу.</w:t>
      </w:r>
    </w:p>
    <w:p w:rsidR="003B7B32" w:rsidRPr="004A2838" w:rsidRDefault="003B7B32" w:rsidP="00333255">
      <w:pPr>
        <w:pStyle w:val="a8"/>
        <w:spacing w:after="0" w:line="240" w:lineRule="auto"/>
        <w:ind w:left="0" w:firstLine="567"/>
        <w:jc w:val="both"/>
        <w:rPr>
          <w:rFonts w:ascii="Times New Roman" w:hAnsi="Times New Roman" w:cs="Times New Roman"/>
          <w:sz w:val="28"/>
        </w:rPr>
      </w:pPr>
      <w:r w:rsidRPr="004A2838">
        <w:rPr>
          <w:rFonts w:ascii="Times New Roman" w:hAnsi="Times New Roman" w:cs="Times New Roman"/>
          <w:sz w:val="28"/>
        </w:rPr>
        <w:t xml:space="preserve">Підземні води більшої частини водозаборів не відповідають вимогам </w:t>
      </w:r>
      <w:proofErr w:type="spellStart"/>
      <w:r w:rsidRPr="004A2838">
        <w:rPr>
          <w:rFonts w:ascii="Times New Roman" w:hAnsi="Times New Roman" w:cs="Times New Roman"/>
          <w:sz w:val="28"/>
        </w:rPr>
        <w:t>ДСанПіН</w:t>
      </w:r>
      <w:proofErr w:type="spellEnd"/>
      <w:r w:rsidRPr="004A2838">
        <w:rPr>
          <w:rFonts w:ascii="Times New Roman" w:hAnsi="Times New Roman" w:cs="Times New Roman"/>
          <w:sz w:val="28"/>
        </w:rPr>
        <w:t xml:space="preserve"> 2.2.4-400-10 по загальній жорсткості та сухому залишку.</w:t>
      </w:r>
    </w:p>
    <w:p w:rsidR="00333255" w:rsidRP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lastRenderedPageBreak/>
        <w:t xml:space="preserve">За даними державної обліку водокористування за формою № 2ТП-водгосп (річна) водокористування в Луганській області у 2019 році здійснювали </w:t>
      </w:r>
      <w:r w:rsidR="0052117F">
        <w:rPr>
          <w:rFonts w:ascii="Times New Roman" w:hAnsi="Times New Roman" w:cs="Times New Roman"/>
          <w:sz w:val="28"/>
        </w:rPr>
        <w:t xml:space="preserve">                   </w:t>
      </w:r>
      <w:r w:rsidRPr="00333255">
        <w:rPr>
          <w:rFonts w:ascii="Times New Roman" w:hAnsi="Times New Roman" w:cs="Times New Roman"/>
          <w:sz w:val="28"/>
        </w:rPr>
        <w:t xml:space="preserve">182 водокористувача, у тому числі по галузях економіки: промисловість – </w:t>
      </w:r>
      <w:r w:rsidR="007D6279" w:rsidRPr="007D6279">
        <w:rPr>
          <w:rFonts w:ascii="Times New Roman" w:hAnsi="Times New Roman" w:cs="Times New Roman"/>
          <w:sz w:val="28"/>
        </w:rPr>
        <w:t xml:space="preserve">                 </w:t>
      </w:r>
      <w:r w:rsidRPr="00333255">
        <w:rPr>
          <w:rFonts w:ascii="Times New Roman" w:hAnsi="Times New Roman" w:cs="Times New Roman"/>
          <w:sz w:val="28"/>
        </w:rPr>
        <w:t xml:space="preserve">57 (31 % від загальної кількості водокористувачів), сільське господарство – </w:t>
      </w:r>
      <w:r w:rsidR="007D6279" w:rsidRPr="007D6279">
        <w:rPr>
          <w:rFonts w:ascii="Times New Roman" w:hAnsi="Times New Roman" w:cs="Times New Roman"/>
          <w:sz w:val="28"/>
        </w:rPr>
        <w:t xml:space="preserve">                </w:t>
      </w:r>
      <w:r w:rsidRPr="00333255">
        <w:rPr>
          <w:rFonts w:ascii="Times New Roman" w:hAnsi="Times New Roman" w:cs="Times New Roman"/>
          <w:sz w:val="28"/>
        </w:rPr>
        <w:t>65 (36 %), комунальне господарство – 33 (18 %), інші галузі – 27 (15 %).</w:t>
      </w:r>
    </w:p>
    <w:p w:rsidR="00333255" w:rsidRP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Об’єм забору води з природних водних об’єктів (поверхневі та підземні) в басейні р. Сіверський Донець складав 96,93 млн куб. м, у тому числі по джерелах забору:</w:t>
      </w:r>
    </w:p>
    <w:p w:rsidR="00333255" w:rsidRP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 поверхневих – 47,</w:t>
      </w:r>
      <w:r w:rsidR="0052117F">
        <w:rPr>
          <w:rFonts w:ascii="Times New Roman" w:hAnsi="Times New Roman" w:cs="Times New Roman"/>
          <w:sz w:val="28"/>
        </w:rPr>
        <w:t>61</w:t>
      </w:r>
      <w:r w:rsidRPr="00333255">
        <w:rPr>
          <w:rFonts w:ascii="Times New Roman" w:hAnsi="Times New Roman" w:cs="Times New Roman"/>
          <w:sz w:val="28"/>
        </w:rPr>
        <w:t xml:space="preserve"> млн куб. м (49,1 % від загального забору води по області),</w:t>
      </w:r>
    </w:p>
    <w:p w:rsidR="00333255" w:rsidRDefault="00333255" w:rsidP="00333255">
      <w:pPr>
        <w:pStyle w:val="a8"/>
        <w:spacing w:after="0" w:line="240" w:lineRule="auto"/>
        <w:ind w:left="0" w:firstLine="567"/>
        <w:jc w:val="both"/>
        <w:rPr>
          <w:rFonts w:ascii="Times New Roman" w:hAnsi="Times New Roman" w:cs="Times New Roman"/>
          <w:sz w:val="28"/>
        </w:rPr>
      </w:pPr>
      <w:r w:rsidRPr="00333255">
        <w:rPr>
          <w:rFonts w:ascii="Times New Roman" w:hAnsi="Times New Roman" w:cs="Times New Roman"/>
          <w:sz w:val="28"/>
        </w:rPr>
        <w:t>- підземних – 49,32 млн куб. м (50,9 % від загального забору води по області), з яких 17,79 млн куб. м шахтно-кар’єрних (36,1 % від загального забору підземних вод по області).</w:t>
      </w:r>
    </w:p>
    <w:p w:rsidR="001305B3" w:rsidRPr="001305B3" w:rsidRDefault="001305B3" w:rsidP="001305B3">
      <w:pPr>
        <w:pStyle w:val="a8"/>
        <w:spacing w:after="0" w:line="240" w:lineRule="auto"/>
        <w:ind w:left="0" w:firstLine="567"/>
        <w:jc w:val="both"/>
        <w:rPr>
          <w:rFonts w:ascii="Times New Roman" w:hAnsi="Times New Roman" w:cs="Times New Roman"/>
          <w:sz w:val="28"/>
        </w:rPr>
      </w:pPr>
      <w:r w:rsidRPr="001305B3">
        <w:rPr>
          <w:rFonts w:ascii="Times New Roman" w:hAnsi="Times New Roman" w:cs="Times New Roman"/>
          <w:sz w:val="28"/>
        </w:rPr>
        <w:t>Шахтний водовідлив у 2019 році разом із затвердженими дренажними водами складав 48,509 тис. м3/добу.</w:t>
      </w:r>
    </w:p>
    <w:p w:rsidR="001305B3" w:rsidRPr="001305B3" w:rsidRDefault="001305B3" w:rsidP="001305B3">
      <w:pPr>
        <w:pStyle w:val="a8"/>
        <w:spacing w:after="0" w:line="240" w:lineRule="auto"/>
        <w:ind w:left="0" w:firstLine="567"/>
        <w:jc w:val="both"/>
        <w:rPr>
          <w:rFonts w:ascii="Times New Roman" w:hAnsi="Times New Roman" w:cs="Times New Roman"/>
          <w:sz w:val="28"/>
        </w:rPr>
      </w:pPr>
      <w:r w:rsidRPr="001305B3">
        <w:rPr>
          <w:rFonts w:ascii="Times New Roman" w:hAnsi="Times New Roman" w:cs="Times New Roman"/>
          <w:sz w:val="28"/>
        </w:rPr>
        <w:t>За минулий рік шахтні води з урахуванням затверджених дренажних вод використовувались на виробничо-технічні потреби у кількості 1,918 тис. м3/добу, решта 46,591 тис. м3/добу скидалась без використання.</w:t>
      </w:r>
    </w:p>
    <w:p w:rsidR="001305B3" w:rsidRDefault="001305B3" w:rsidP="001305B3">
      <w:pPr>
        <w:pStyle w:val="a8"/>
        <w:spacing w:after="0" w:line="240" w:lineRule="auto"/>
        <w:ind w:left="0" w:firstLine="567"/>
        <w:jc w:val="both"/>
        <w:rPr>
          <w:rFonts w:ascii="Times New Roman" w:hAnsi="Times New Roman" w:cs="Times New Roman"/>
          <w:sz w:val="28"/>
        </w:rPr>
      </w:pPr>
      <w:r w:rsidRPr="001305B3">
        <w:rPr>
          <w:rFonts w:ascii="Times New Roman" w:hAnsi="Times New Roman" w:cs="Times New Roman"/>
          <w:sz w:val="28"/>
        </w:rPr>
        <w:t>На шахті «Золоте» ДП «</w:t>
      </w:r>
      <w:proofErr w:type="spellStart"/>
      <w:r w:rsidRPr="001305B3">
        <w:rPr>
          <w:rFonts w:ascii="Times New Roman" w:hAnsi="Times New Roman" w:cs="Times New Roman"/>
          <w:sz w:val="28"/>
        </w:rPr>
        <w:t>Первомайськвугілля</w:t>
      </w:r>
      <w:proofErr w:type="spellEnd"/>
      <w:r w:rsidRPr="001305B3">
        <w:rPr>
          <w:rFonts w:ascii="Times New Roman" w:hAnsi="Times New Roman" w:cs="Times New Roman"/>
          <w:sz w:val="28"/>
        </w:rPr>
        <w:t>» існує загроза виникнення техногенної катастрофи внаслідок підтоплення діючих вугледобувних підприємств і території навколо шахт та міст шахтними водами. У зв’язку з цим необхідно термінове будівництво водовідливного комплексу потужністю на 1366 – 1500 м3/год.</w:t>
      </w:r>
    </w:p>
    <w:p w:rsidR="00154A9E" w:rsidRDefault="00154A9E" w:rsidP="00333255">
      <w:pPr>
        <w:pStyle w:val="a8"/>
        <w:spacing w:after="0" w:line="240" w:lineRule="auto"/>
        <w:ind w:left="0" w:firstLine="567"/>
        <w:jc w:val="both"/>
        <w:rPr>
          <w:rFonts w:ascii="Times New Roman" w:hAnsi="Times New Roman" w:cs="Times New Roman"/>
          <w:sz w:val="28"/>
        </w:rPr>
      </w:pPr>
    </w:p>
    <w:p w:rsidR="00333255" w:rsidRDefault="00333255" w:rsidP="00333255">
      <w:pPr>
        <w:pStyle w:val="a8"/>
        <w:spacing w:after="0" w:line="240" w:lineRule="auto"/>
        <w:ind w:left="0" w:firstLine="567"/>
        <w:jc w:val="center"/>
        <w:rPr>
          <w:rFonts w:ascii="Times New Roman" w:hAnsi="Times New Roman" w:cs="Times New Roman"/>
          <w:b/>
          <w:sz w:val="28"/>
        </w:rPr>
      </w:pPr>
      <w:r w:rsidRPr="00333255">
        <w:rPr>
          <w:rFonts w:ascii="Times New Roman" w:hAnsi="Times New Roman" w:cs="Times New Roman"/>
          <w:b/>
          <w:sz w:val="28"/>
        </w:rPr>
        <w:t>Забір води провідними галузями економіки</w:t>
      </w:r>
    </w:p>
    <w:p w:rsidR="00154A9E" w:rsidRDefault="00154A9E" w:rsidP="00333255">
      <w:pPr>
        <w:pStyle w:val="a8"/>
        <w:spacing w:after="0" w:line="240" w:lineRule="auto"/>
        <w:ind w:left="0" w:firstLine="567"/>
        <w:jc w:val="center"/>
        <w:rPr>
          <w:rFonts w:ascii="Times New Roman" w:hAnsi="Times New Roman" w:cs="Times New Roman"/>
          <w:b/>
          <w:sz w:val="28"/>
        </w:rPr>
      </w:pPr>
    </w:p>
    <w:p w:rsidR="00D827A9" w:rsidRPr="00D827A9" w:rsidRDefault="00D827A9" w:rsidP="00D827A9">
      <w:pPr>
        <w:pStyle w:val="a8"/>
        <w:spacing w:after="0" w:line="240" w:lineRule="auto"/>
        <w:ind w:left="0" w:firstLine="567"/>
        <w:jc w:val="both"/>
        <w:rPr>
          <w:rFonts w:ascii="Times New Roman" w:hAnsi="Times New Roman" w:cs="Times New Roman"/>
          <w:sz w:val="28"/>
        </w:rPr>
      </w:pPr>
      <w:r w:rsidRPr="00D827A9">
        <w:rPr>
          <w:rFonts w:ascii="Times New Roman" w:hAnsi="Times New Roman" w:cs="Times New Roman"/>
          <w:b/>
          <w:sz w:val="28"/>
        </w:rPr>
        <w:t>Промисловість.</w:t>
      </w:r>
      <w:r w:rsidRPr="00D827A9">
        <w:rPr>
          <w:rFonts w:ascii="Times New Roman" w:hAnsi="Times New Roman" w:cs="Times New Roman"/>
          <w:sz w:val="28"/>
        </w:rPr>
        <w:t xml:space="preserve"> На її долю приходиться 35 % (33,85 млн куб</w:t>
      </w:r>
      <w:r w:rsidR="0052117F">
        <w:rPr>
          <w:rFonts w:ascii="Times New Roman" w:hAnsi="Times New Roman" w:cs="Times New Roman"/>
          <w:sz w:val="28"/>
        </w:rPr>
        <w:t>.</w:t>
      </w:r>
      <w:r w:rsidRPr="00D827A9">
        <w:rPr>
          <w:rFonts w:ascii="Times New Roman" w:hAnsi="Times New Roman" w:cs="Times New Roman"/>
          <w:sz w:val="28"/>
        </w:rPr>
        <w:t xml:space="preserve"> м) забору води з природних водних об’єктів, у тому числі підприємствами вугільної промисловості – 52,6 % (17,80 млн куб. м), електроенергетики – 23,9 % (8,081 млн куб. м), хімічної та нафтохімічної – 10,3 % (3,490 млн куб. м), деревообробної – 10,5 % (3,545 млн куб. м), інші – 2,7 %.</w:t>
      </w:r>
    </w:p>
    <w:p w:rsidR="00D827A9" w:rsidRPr="00D827A9" w:rsidRDefault="00D827A9" w:rsidP="00D827A9">
      <w:pPr>
        <w:pStyle w:val="a8"/>
        <w:spacing w:after="0" w:line="240" w:lineRule="auto"/>
        <w:ind w:left="0" w:firstLine="567"/>
        <w:jc w:val="both"/>
        <w:rPr>
          <w:rFonts w:ascii="Times New Roman" w:hAnsi="Times New Roman" w:cs="Times New Roman"/>
          <w:sz w:val="28"/>
        </w:rPr>
      </w:pPr>
      <w:r w:rsidRPr="00D827A9">
        <w:rPr>
          <w:rFonts w:ascii="Times New Roman" w:hAnsi="Times New Roman" w:cs="Times New Roman"/>
          <w:b/>
          <w:sz w:val="28"/>
        </w:rPr>
        <w:t>Комунальне господарство.</w:t>
      </w:r>
      <w:r w:rsidRPr="00D827A9">
        <w:rPr>
          <w:rFonts w:ascii="Times New Roman" w:hAnsi="Times New Roman" w:cs="Times New Roman"/>
          <w:sz w:val="28"/>
        </w:rPr>
        <w:t xml:space="preserve"> На долю цієї галузі приходиться 63,3 % (61,36 млн куб. м) загального забору води з природних водних об’єктів.</w:t>
      </w:r>
    </w:p>
    <w:p w:rsidR="00D827A9" w:rsidRPr="00D827A9" w:rsidRDefault="00D827A9" w:rsidP="00D827A9">
      <w:pPr>
        <w:pStyle w:val="a8"/>
        <w:spacing w:after="0" w:line="240" w:lineRule="auto"/>
        <w:ind w:left="0" w:firstLine="567"/>
        <w:jc w:val="both"/>
        <w:rPr>
          <w:rFonts w:ascii="Times New Roman" w:hAnsi="Times New Roman" w:cs="Times New Roman"/>
          <w:sz w:val="28"/>
        </w:rPr>
      </w:pPr>
      <w:r w:rsidRPr="00D827A9">
        <w:rPr>
          <w:rFonts w:ascii="Times New Roman" w:hAnsi="Times New Roman" w:cs="Times New Roman"/>
          <w:sz w:val="28"/>
        </w:rPr>
        <w:t>Основним підприємством, яке здійснює забір води з поверхневих водних об’єктів для забезпечення водою споживачів Луганській області є КП «</w:t>
      </w:r>
      <w:proofErr w:type="spellStart"/>
      <w:r w:rsidRPr="00D827A9">
        <w:rPr>
          <w:rFonts w:ascii="Times New Roman" w:hAnsi="Times New Roman" w:cs="Times New Roman"/>
          <w:sz w:val="28"/>
        </w:rPr>
        <w:t>Попаснянський</w:t>
      </w:r>
      <w:proofErr w:type="spellEnd"/>
      <w:r w:rsidRPr="00D827A9">
        <w:rPr>
          <w:rFonts w:ascii="Times New Roman" w:hAnsi="Times New Roman" w:cs="Times New Roman"/>
          <w:sz w:val="28"/>
        </w:rPr>
        <w:t xml:space="preserve"> Районний Водоканал», яким у 2019 році з русла р. Сіверський</w:t>
      </w:r>
      <w:r>
        <w:rPr>
          <w:rFonts w:ascii="Times New Roman" w:hAnsi="Times New Roman" w:cs="Times New Roman"/>
          <w:sz w:val="28"/>
        </w:rPr>
        <w:t xml:space="preserve"> </w:t>
      </w:r>
      <w:r w:rsidRPr="00D827A9">
        <w:rPr>
          <w:rFonts w:ascii="Times New Roman" w:hAnsi="Times New Roman" w:cs="Times New Roman"/>
          <w:sz w:val="28"/>
        </w:rPr>
        <w:t>Донець було забрано 33,93 млн куб. м, або 100 % забору з поверхневих джерел по галузі.</w:t>
      </w:r>
    </w:p>
    <w:p w:rsidR="00333255" w:rsidRDefault="00D827A9" w:rsidP="00D827A9">
      <w:pPr>
        <w:pStyle w:val="a8"/>
        <w:spacing w:after="0" w:line="240" w:lineRule="auto"/>
        <w:ind w:left="0" w:firstLine="567"/>
        <w:jc w:val="both"/>
        <w:rPr>
          <w:rFonts w:ascii="Times New Roman" w:hAnsi="Times New Roman" w:cs="Times New Roman"/>
          <w:sz w:val="28"/>
        </w:rPr>
      </w:pPr>
      <w:r w:rsidRPr="004A2838">
        <w:rPr>
          <w:rFonts w:ascii="Times New Roman" w:hAnsi="Times New Roman" w:cs="Times New Roman"/>
          <w:b/>
          <w:sz w:val="28"/>
        </w:rPr>
        <w:t>Сільське господарство.</w:t>
      </w:r>
      <w:r w:rsidRPr="00D827A9">
        <w:rPr>
          <w:rFonts w:ascii="Times New Roman" w:hAnsi="Times New Roman" w:cs="Times New Roman"/>
          <w:sz w:val="28"/>
        </w:rPr>
        <w:t xml:space="preserve"> На долю цієї галузі припадає 1,4 % (1,373 млн куб. м) забору води з природних водних об’єктів.</w:t>
      </w:r>
    </w:p>
    <w:p w:rsidR="00D827A9" w:rsidRDefault="00D827A9" w:rsidP="00D827A9">
      <w:pPr>
        <w:pStyle w:val="a8"/>
        <w:spacing w:after="0" w:line="240" w:lineRule="auto"/>
        <w:ind w:left="0" w:firstLine="567"/>
        <w:jc w:val="both"/>
        <w:rPr>
          <w:rFonts w:ascii="Times New Roman" w:hAnsi="Times New Roman" w:cs="Times New Roman"/>
          <w:sz w:val="28"/>
        </w:rPr>
      </w:pPr>
      <w:r w:rsidRPr="00D827A9">
        <w:rPr>
          <w:rFonts w:ascii="Times New Roman" w:hAnsi="Times New Roman" w:cs="Times New Roman"/>
          <w:sz w:val="28"/>
        </w:rPr>
        <w:t xml:space="preserve">У 2019 році по Луганській області було використано 64,12 млн куб. м прісної води, у тому числі на потреби: питні і санітарно-гігієнічні – 12,11 млн куб. м (18,9 %), виробничі – 50,21 млн куб. м (78,3 %), зрошення – 0,546 млн куб. м (0,8 %), інші потреби – 1,254 млн куб. м (2 %) від загального використання води по </w:t>
      </w:r>
      <w:r w:rsidRPr="00D827A9">
        <w:rPr>
          <w:rFonts w:ascii="Times New Roman" w:hAnsi="Times New Roman" w:cs="Times New Roman"/>
          <w:sz w:val="28"/>
        </w:rPr>
        <w:lastRenderedPageBreak/>
        <w:t>області. Без вилучення на рибогосподарські потреби використано 1,223 млн куб. м.</w:t>
      </w:r>
    </w:p>
    <w:p w:rsidR="002A5B96" w:rsidRDefault="002A5B96" w:rsidP="00D827A9">
      <w:pPr>
        <w:pStyle w:val="a8"/>
        <w:spacing w:after="0" w:line="240" w:lineRule="auto"/>
        <w:ind w:left="0" w:firstLine="567"/>
        <w:jc w:val="both"/>
        <w:rPr>
          <w:rFonts w:ascii="Times New Roman" w:hAnsi="Times New Roman" w:cs="Times New Roman"/>
          <w:b/>
          <w:sz w:val="28"/>
        </w:rPr>
      </w:pPr>
    </w:p>
    <w:p w:rsidR="002A5B96" w:rsidRDefault="002A5B96" w:rsidP="002A5B96">
      <w:pPr>
        <w:pStyle w:val="a8"/>
        <w:spacing w:after="0" w:line="240" w:lineRule="auto"/>
        <w:ind w:left="0" w:firstLine="567"/>
        <w:jc w:val="center"/>
        <w:rPr>
          <w:rFonts w:ascii="Times New Roman" w:hAnsi="Times New Roman" w:cs="Times New Roman"/>
          <w:b/>
          <w:sz w:val="28"/>
        </w:rPr>
      </w:pPr>
      <w:r w:rsidRPr="002A5B96">
        <w:rPr>
          <w:rFonts w:ascii="Times New Roman" w:hAnsi="Times New Roman" w:cs="Times New Roman"/>
          <w:b/>
          <w:sz w:val="28"/>
        </w:rPr>
        <w:t>Якість поверхневих вод</w:t>
      </w:r>
    </w:p>
    <w:p w:rsidR="00154A9E" w:rsidRPr="002A5B96" w:rsidRDefault="00154A9E" w:rsidP="002A5B96">
      <w:pPr>
        <w:pStyle w:val="a8"/>
        <w:spacing w:after="0" w:line="240" w:lineRule="auto"/>
        <w:ind w:left="0" w:firstLine="567"/>
        <w:jc w:val="center"/>
        <w:rPr>
          <w:rFonts w:ascii="Times New Roman" w:hAnsi="Times New Roman" w:cs="Times New Roman"/>
          <w:b/>
          <w:sz w:val="28"/>
        </w:rPr>
      </w:pPr>
    </w:p>
    <w:p w:rsidR="002A5B96" w:rsidRPr="002A5B96" w:rsidRDefault="002A5B96" w:rsidP="002A5B96">
      <w:pPr>
        <w:pStyle w:val="a8"/>
        <w:spacing w:after="0" w:line="240" w:lineRule="auto"/>
        <w:ind w:left="0" w:firstLine="567"/>
        <w:jc w:val="both"/>
        <w:rPr>
          <w:rFonts w:ascii="Times New Roman" w:hAnsi="Times New Roman" w:cs="Times New Roman"/>
          <w:sz w:val="28"/>
        </w:rPr>
      </w:pPr>
      <w:r w:rsidRPr="002A5B96">
        <w:rPr>
          <w:rFonts w:ascii="Times New Roman" w:hAnsi="Times New Roman" w:cs="Times New Roman"/>
          <w:sz w:val="28"/>
        </w:rPr>
        <w:t xml:space="preserve">У 2019 році Сіверсько-Донецьким басейновим управлінням водних ресурсів державний моніторинг поверхневих вод здійснювався в </w:t>
      </w:r>
      <w:proofErr w:type="spellStart"/>
      <w:r w:rsidRPr="002A5B96">
        <w:rPr>
          <w:rFonts w:ascii="Times New Roman" w:hAnsi="Times New Roman" w:cs="Times New Roman"/>
          <w:sz w:val="28"/>
        </w:rPr>
        <w:t>суббасейні</w:t>
      </w:r>
      <w:proofErr w:type="spellEnd"/>
      <w:r w:rsidRPr="002A5B96">
        <w:rPr>
          <w:rFonts w:ascii="Times New Roman" w:hAnsi="Times New Roman" w:cs="Times New Roman"/>
          <w:sz w:val="28"/>
        </w:rPr>
        <w:t xml:space="preserve"> річки Сіверський Донець відповідно до Постанов Кабінету Міністрів України від 30.03.1998 (зі змінами) та від 19.09.2018 № 758, в т.ч. діагностичний</w:t>
      </w:r>
      <w:r>
        <w:rPr>
          <w:rFonts w:ascii="Times New Roman" w:hAnsi="Times New Roman" w:cs="Times New Roman"/>
          <w:sz w:val="28"/>
        </w:rPr>
        <w:t xml:space="preserve"> </w:t>
      </w:r>
      <w:r w:rsidRPr="002A5B96">
        <w:rPr>
          <w:rFonts w:ascii="Times New Roman" w:hAnsi="Times New Roman" w:cs="Times New Roman"/>
          <w:sz w:val="28"/>
        </w:rPr>
        <w:t>моніторинг масивів поверхневих вод з метою встановлення їх хімічного стану в рамках розробки Плану управління річковим басейном Дону.</w:t>
      </w:r>
    </w:p>
    <w:p w:rsidR="002A5B96" w:rsidRDefault="002A5B96" w:rsidP="002A5B96">
      <w:pPr>
        <w:pStyle w:val="a8"/>
        <w:spacing w:after="0" w:line="240" w:lineRule="auto"/>
        <w:ind w:left="0" w:firstLine="567"/>
        <w:jc w:val="both"/>
        <w:rPr>
          <w:rFonts w:ascii="Times New Roman" w:hAnsi="Times New Roman" w:cs="Times New Roman"/>
          <w:sz w:val="28"/>
        </w:rPr>
      </w:pPr>
      <w:r w:rsidRPr="002A5B96">
        <w:rPr>
          <w:rFonts w:ascii="Times New Roman" w:hAnsi="Times New Roman" w:cs="Times New Roman"/>
          <w:sz w:val="28"/>
        </w:rPr>
        <w:t xml:space="preserve">Державний моніторинг поверхневих вод в Луганській області здійснювався у 6 пунктах моніторингу на річках Сіверський Донець, р. Верхня Біленька, р. Борова, р. Красна, р. </w:t>
      </w:r>
      <w:proofErr w:type="spellStart"/>
      <w:r w:rsidRPr="002A5B96">
        <w:rPr>
          <w:rFonts w:ascii="Times New Roman" w:hAnsi="Times New Roman" w:cs="Times New Roman"/>
          <w:sz w:val="28"/>
        </w:rPr>
        <w:t>Хорина</w:t>
      </w:r>
      <w:proofErr w:type="spellEnd"/>
      <w:r w:rsidRPr="002A5B96">
        <w:rPr>
          <w:rFonts w:ascii="Times New Roman" w:hAnsi="Times New Roman" w:cs="Times New Roman"/>
          <w:sz w:val="28"/>
        </w:rPr>
        <w:t>.</w:t>
      </w:r>
    </w:p>
    <w:p w:rsidR="00D93337" w:rsidRP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Вимірювання здійснювались за 37 показниками, в т.ч.:</w:t>
      </w:r>
    </w:p>
    <w:p w:rsidR="00D93337" w:rsidRP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 xml:space="preserve">- фізико-хімічними </w:t>
      </w:r>
      <w:r>
        <w:rPr>
          <w:rFonts w:ascii="Times New Roman" w:hAnsi="Times New Roman" w:cs="Times New Roman"/>
          <w:sz w:val="28"/>
        </w:rPr>
        <w:t>(</w:t>
      </w:r>
      <w:r w:rsidRPr="00D93337">
        <w:rPr>
          <w:rFonts w:ascii="Times New Roman" w:hAnsi="Times New Roman" w:cs="Times New Roman"/>
          <w:sz w:val="28"/>
        </w:rPr>
        <w:t xml:space="preserve">температура, розчинений кисень, мінералізація, водневий показник, біологічне споживання кисню, хімічне споживання кисню, азот загальний, азот амонійний, азот </w:t>
      </w:r>
      <w:proofErr w:type="spellStart"/>
      <w:r w:rsidRPr="00D93337">
        <w:rPr>
          <w:rFonts w:ascii="Times New Roman" w:hAnsi="Times New Roman" w:cs="Times New Roman"/>
          <w:sz w:val="28"/>
        </w:rPr>
        <w:t>нітритний</w:t>
      </w:r>
      <w:proofErr w:type="spellEnd"/>
      <w:r w:rsidRPr="00D93337">
        <w:rPr>
          <w:rFonts w:ascii="Times New Roman" w:hAnsi="Times New Roman" w:cs="Times New Roman"/>
          <w:sz w:val="28"/>
        </w:rPr>
        <w:t xml:space="preserve">, азот нітратний, фосфор загальний, </w:t>
      </w:r>
      <w:proofErr w:type="spellStart"/>
      <w:r w:rsidRPr="00D93337">
        <w:rPr>
          <w:rFonts w:ascii="Times New Roman" w:hAnsi="Times New Roman" w:cs="Times New Roman"/>
          <w:sz w:val="28"/>
        </w:rPr>
        <w:t>форфор</w:t>
      </w:r>
      <w:proofErr w:type="spellEnd"/>
      <w:r w:rsidRPr="00D93337">
        <w:rPr>
          <w:rFonts w:ascii="Times New Roman" w:hAnsi="Times New Roman" w:cs="Times New Roman"/>
          <w:sz w:val="28"/>
        </w:rPr>
        <w:t xml:space="preserve"> </w:t>
      </w:r>
      <w:proofErr w:type="spellStart"/>
      <w:r w:rsidRPr="00D93337">
        <w:rPr>
          <w:rFonts w:ascii="Times New Roman" w:hAnsi="Times New Roman" w:cs="Times New Roman"/>
          <w:sz w:val="28"/>
        </w:rPr>
        <w:t>ортофосфатів</w:t>
      </w:r>
      <w:proofErr w:type="spellEnd"/>
      <w:r>
        <w:rPr>
          <w:rFonts w:ascii="Times New Roman" w:hAnsi="Times New Roman" w:cs="Times New Roman"/>
          <w:sz w:val="28"/>
        </w:rPr>
        <w:t>)</w:t>
      </w:r>
      <w:r w:rsidRPr="00D93337">
        <w:rPr>
          <w:rFonts w:ascii="Times New Roman" w:hAnsi="Times New Roman" w:cs="Times New Roman"/>
          <w:sz w:val="28"/>
        </w:rPr>
        <w:t>;</w:t>
      </w:r>
    </w:p>
    <w:p w:rsidR="00D93337" w:rsidRP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 xml:space="preserve">- забруднюючими речовинами для визначення хімічного стану масивів поверхневих вод </w:t>
      </w:r>
      <w:r>
        <w:rPr>
          <w:rFonts w:ascii="Times New Roman" w:hAnsi="Times New Roman" w:cs="Times New Roman"/>
          <w:sz w:val="28"/>
        </w:rPr>
        <w:t>(</w:t>
      </w:r>
      <w:r w:rsidRPr="00D93337">
        <w:rPr>
          <w:rFonts w:ascii="Times New Roman" w:hAnsi="Times New Roman" w:cs="Times New Roman"/>
          <w:sz w:val="28"/>
        </w:rPr>
        <w:t xml:space="preserve">кадмій, свинець, ртуть, нікель, ДДТ, </w:t>
      </w:r>
      <w:proofErr w:type="spellStart"/>
      <w:r w:rsidRPr="00D93337">
        <w:rPr>
          <w:rFonts w:ascii="Times New Roman" w:hAnsi="Times New Roman" w:cs="Times New Roman"/>
          <w:sz w:val="28"/>
        </w:rPr>
        <w:t>α-гексахлорциклогексан</w:t>
      </w:r>
      <w:proofErr w:type="spellEnd"/>
      <w:r w:rsidRPr="00D93337">
        <w:rPr>
          <w:rFonts w:ascii="Times New Roman" w:hAnsi="Times New Roman" w:cs="Times New Roman"/>
          <w:sz w:val="28"/>
        </w:rPr>
        <w:t xml:space="preserve">, </w:t>
      </w:r>
      <w:proofErr w:type="spellStart"/>
      <w:r w:rsidRPr="00D93337">
        <w:rPr>
          <w:rFonts w:ascii="Times New Roman" w:hAnsi="Times New Roman" w:cs="Times New Roman"/>
          <w:sz w:val="28"/>
        </w:rPr>
        <w:t>трифлуралін</w:t>
      </w:r>
      <w:proofErr w:type="spellEnd"/>
      <w:r w:rsidRPr="00D93337">
        <w:rPr>
          <w:rFonts w:ascii="Times New Roman" w:hAnsi="Times New Roman" w:cs="Times New Roman"/>
          <w:sz w:val="28"/>
        </w:rPr>
        <w:t xml:space="preserve">, </w:t>
      </w:r>
      <w:proofErr w:type="spellStart"/>
      <w:r w:rsidRPr="00D93337">
        <w:rPr>
          <w:rFonts w:ascii="Times New Roman" w:hAnsi="Times New Roman" w:cs="Times New Roman"/>
          <w:sz w:val="28"/>
        </w:rPr>
        <w:t>атразін</w:t>
      </w:r>
      <w:proofErr w:type="spellEnd"/>
      <w:r w:rsidRPr="00D93337">
        <w:rPr>
          <w:rFonts w:ascii="Times New Roman" w:hAnsi="Times New Roman" w:cs="Times New Roman"/>
          <w:sz w:val="28"/>
        </w:rPr>
        <w:t xml:space="preserve">, </w:t>
      </w:r>
      <w:proofErr w:type="spellStart"/>
      <w:r w:rsidRPr="00D93337">
        <w:rPr>
          <w:rFonts w:ascii="Times New Roman" w:hAnsi="Times New Roman" w:cs="Times New Roman"/>
          <w:sz w:val="28"/>
        </w:rPr>
        <w:t>сімазін</w:t>
      </w:r>
      <w:proofErr w:type="spellEnd"/>
      <w:r>
        <w:rPr>
          <w:rFonts w:ascii="Times New Roman" w:hAnsi="Times New Roman" w:cs="Times New Roman"/>
          <w:sz w:val="28"/>
        </w:rPr>
        <w:t>)</w:t>
      </w:r>
      <w:r w:rsidRPr="00D93337">
        <w:rPr>
          <w:rFonts w:ascii="Times New Roman" w:hAnsi="Times New Roman" w:cs="Times New Roman"/>
          <w:sz w:val="28"/>
        </w:rPr>
        <w:t>;</w:t>
      </w:r>
    </w:p>
    <w:p w:rsidR="00D93337" w:rsidRP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 xml:space="preserve">- специфічними для </w:t>
      </w:r>
      <w:proofErr w:type="spellStart"/>
      <w:r w:rsidRPr="00D93337">
        <w:rPr>
          <w:rFonts w:ascii="Times New Roman" w:hAnsi="Times New Roman" w:cs="Times New Roman"/>
          <w:sz w:val="28"/>
        </w:rPr>
        <w:t>суббасейну</w:t>
      </w:r>
      <w:proofErr w:type="spellEnd"/>
      <w:r w:rsidRPr="00D93337">
        <w:rPr>
          <w:rFonts w:ascii="Times New Roman" w:hAnsi="Times New Roman" w:cs="Times New Roman"/>
          <w:sz w:val="28"/>
        </w:rPr>
        <w:t xml:space="preserve"> Сіверського Дінця </w:t>
      </w:r>
      <w:r>
        <w:rPr>
          <w:rFonts w:ascii="Times New Roman" w:hAnsi="Times New Roman" w:cs="Times New Roman"/>
          <w:sz w:val="28"/>
        </w:rPr>
        <w:t>(</w:t>
      </w:r>
      <w:proofErr w:type="spellStart"/>
      <w:r w:rsidRPr="00D93337">
        <w:rPr>
          <w:rFonts w:ascii="Times New Roman" w:hAnsi="Times New Roman" w:cs="Times New Roman"/>
          <w:sz w:val="28"/>
        </w:rPr>
        <w:t>прометрін</w:t>
      </w:r>
      <w:proofErr w:type="spellEnd"/>
      <w:r w:rsidRPr="00D93337">
        <w:rPr>
          <w:rFonts w:ascii="Times New Roman" w:hAnsi="Times New Roman" w:cs="Times New Roman"/>
          <w:sz w:val="28"/>
        </w:rPr>
        <w:t>, цинк, жорсткість</w:t>
      </w:r>
      <w:r>
        <w:rPr>
          <w:rFonts w:ascii="Times New Roman" w:hAnsi="Times New Roman" w:cs="Times New Roman"/>
          <w:sz w:val="28"/>
        </w:rPr>
        <w:t>,</w:t>
      </w:r>
      <w:r w:rsidRPr="00D93337">
        <w:rPr>
          <w:rFonts w:ascii="Times New Roman" w:hAnsi="Times New Roman" w:cs="Times New Roman"/>
          <w:sz w:val="28"/>
        </w:rPr>
        <w:t xml:space="preserve"> марганець, мідь, хром </w:t>
      </w:r>
      <w:proofErr w:type="spellStart"/>
      <w:r w:rsidRPr="00D93337">
        <w:rPr>
          <w:rFonts w:ascii="Times New Roman" w:hAnsi="Times New Roman" w:cs="Times New Roman"/>
          <w:sz w:val="28"/>
        </w:rPr>
        <w:t>заг</w:t>
      </w:r>
      <w:proofErr w:type="spellEnd"/>
      <w:r>
        <w:rPr>
          <w:rFonts w:ascii="Times New Roman" w:hAnsi="Times New Roman" w:cs="Times New Roman"/>
          <w:sz w:val="28"/>
        </w:rPr>
        <w:t>)</w:t>
      </w:r>
      <w:r w:rsidRPr="00D93337">
        <w:rPr>
          <w:rFonts w:ascii="Times New Roman" w:hAnsi="Times New Roman" w:cs="Times New Roman"/>
          <w:sz w:val="28"/>
        </w:rPr>
        <w:t>;</w:t>
      </w:r>
    </w:p>
    <w:p w:rsidR="00D93337" w:rsidRP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 xml:space="preserve">- додатковими речовинами для питних пунктів моніторингу </w:t>
      </w:r>
      <w:r>
        <w:rPr>
          <w:rFonts w:ascii="Times New Roman" w:hAnsi="Times New Roman" w:cs="Times New Roman"/>
          <w:sz w:val="28"/>
        </w:rPr>
        <w:t>(</w:t>
      </w:r>
      <w:r w:rsidRPr="00D93337">
        <w:rPr>
          <w:rFonts w:ascii="Times New Roman" w:hAnsi="Times New Roman" w:cs="Times New Roman"/>
          <w:sz w:val="28"/>
        </w:rPr>
        <w:t xml:space="preserve">сульфати, хлориди, залізо </w:t>
      </w:r>
      <w:proofErr w:type="spellStart"/>
      <w:r w:rsidRPr="00D93337">
        <w:rPr>
          <w:rFonts w:ascii="Times New Roman" w:hAnsi="Times New Roman" w:cs="Times New Roman"/>
          <w:sz w:val="28"/>
        </w:rPr>
        <w:t>заг</w:t>
      </w:r>
      <w:proofErr w:type="spellEnd"/>
      <w:r w:rsidRPr="00D93337">
        <w:rPr>
          <w:rFonts w:ascii="Times New Roman" w:hAnsi="Times New Roman" w:cs="Times New Roman"/>
          <w:sz w:val="28"/>
        </w:rPr>
        <w:t xml:space="preserve">., кобальт, </w:t>
      </w:r>
      <w:proofErr w:type="spellStart"/>
      <w:r w:rsidRPr="00D93337">
        <w:rPr>
          <w:rFonts w:ascii="Times New Roman" w:hAnsi="Times New Roman" w:cs="Times New Roman"/>
          <w:sz w:val="28"/>
        </w:rPr>
        <w:t>СПАРан</w:t>
      </w:r>
      <w:proofErr w:type="spellEnd"/>
      <w:r w:rsidRPr="00D93337">
        <w:rPr>
          <w:rFonts w:ascii="Times New Roman" w:hAnsi="Times New Roman" w:cs="Times New Roman"/>
          <w:sz w:val="28"/>
        </w:rPr>
        <w:t>., алюміній, кальцій, магній, нафтопродукти</w:t>
      </w:r>
      <w:r>
        <w:rPr>
          <w:rFonts w:ascii="Times New Roman" w:hAnsi="Times New Roman" w:cs="Times New Roman"/>
          <w:sz w:val="28"/>
        </w:rPr>
        <w:t>)</w:t>
      </w:r>
      <w:r w:rsidRPr="00D93337">
        <w:rPr>
          <w:rFonts w:ascii="Times New Roman" w:hAnsi="Times New Roman" w:cs="Times New Roman"/>
          <w:sz w:val="28"/>
        </w:rPr>
        <w:t>.</w:t>
      </w:r>
    </w:p>
    <w:p w:rsid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За результатами вимірювань у 2019 році спостерігається перевищення середньорічних концентрацій показників відносно ГДК риб. (згідно «Узагальненого переліку гранично допустимих концентрацій (ГДК) та орієнтовно безпечних рівнів впливу»)</w:t>
      </w:r>
      <w:r>
        <w:rPr>
          <w:rFonts w:ascii="Times New Roman" w:hAnsi="Times New Roman" w:cs="Times New Roman"/>
          <w:sz w:val="28"/>
        </w:rPr>
        <w:t>.</w:t>
      </w:r>
    </w:p>
    <w:p w:rsidR="00D93337" w:rsidRDefault="00D93337" w:rsidP="00D93337">
      <w:pPr>
        <w:pStyle w:val="a8"/>
        <w:spacing w:after="0" w:line="240" w:lineRule="auto"/>
        <w:ind w:left="0" w:firstLine="567"/>
        <w:jc w:val="both"/>
        <w:rPr>
          <w:rFonts w:ascii="Times New Roman" w:hAnsi="Times New Roman" w:cs="Times New Roman"/>
          <w:sz w:val="28"/>
        </w:rPr>
      </w:pPr>
      <w:r w:rsidRPr="00D93337">
        <w:rPr>
          <w:rFonts w:ascii="Times New Roman" w:hAnsi="Times New Roman" w:cs="Times New Roman"/>
          <w:sz w:val="28"/>
        </w:rPr>
        <w:t xml:space="preserve">В цілому за результатами спостережень у 2019 році якісний стан поверхневих водних об’єктів басейну річки Сіверський Донець в межах Луганської області на рівні минулих років, концентрації забруднюючих речовин коливаються в межах </w:t>
      </w:r>
      <w:proofErr w:type="spellStart"/>
      <w:r w:rsidRPr="00D93337">
        <w:rPr>
          <w:rFonts w:ascii="Times New Roman" w:hAnsi="Times New Roman" w:cs="Times New Roman"/>
          <w:sz w:val="28"/>
        </w:rPr>
        <w:t>середньобагаторічних</w:t>
      </w:r>
      <w:proofErr w:type="spellEnd"/>
      <w:r w:rsidRPr="00D93337">
        <w:rPr>
          <w:rFonts w:ascii="Times New Roman" w:hAnsi="Times New Roman" w:cs="Times New Roman"/>
          <w:sz w:val="28"/>
        </w:rPr>
        <w:t xml:space="preserve"> значень.</w:t>
      </w:r>
    </w:p>
    <w:p w:rsidR="003B583B" w:rsidRDefault="003B583B" w:rsidP="00D93337">
      <w:pPr>
        <w:pStyle w:val="a8"/>
        <w:spacing w:after="0" w:line="240" w:lineRule="auto"/>
        <w:ind w:left="0" w:firstLine="567"/>
        <w:jc w:val="both"/>
        <w:rPr>
          <w:rFonts w:ascii="Times New Roman" w:hAnsi="Times New Roman" w:cs="Times New Roman"/>
          <w:sz w:val="28"/>
        </w:rPr>
      </w:pPr>
    </w:p>
    <w:p w:rsidR="003B583B" w:rsidRDefault="003B583B" w:rsidP="003B583B">
      <w:pPr>
        <w:pStyle w:val="a8"/>
        <w:spacing w:after="0" w:line="240" w:lineRule="auto"/>
        <w:ind w:left="0" w:firstLine="567"/>
        <w:jc w:val="center"/>
        <w:rPr>
          <w:rFonts w:ascii="Times New Roman" w:hAnsi="Times New Roman" w:cs="Times New Roman"/>
          <w:b/>
          <w:sz w:val="28"/>
        </w:rPr>
      </w:pPr>
      <w:r w:rsidRPr="003B583B">
        <w:rPr>
          <w:rFonts w:ascii="Times New Roman" w:hAnsi="Times New Roman" w:cs="Times New Roman"/>
          <w:b/>
          <w:sz w:val="28"/>
        </w:rPr>
        <w:t>Забруднення поверхневих вод</w:t>
      </w:r>
    </w:p>
    <w:p w:rsidR="00154A9E" w:rsidRDefault="00154A9E" w:rsidP="003B583B">
      <w:pPr>
        <w:pStyle w:val="a8"/>
        <w:spacing w:after="0" w:line="240" w:lineRule="auto"/>
        <w:ind w:left="0" w:firstLine="567"/>
        <w:jc w:val="center"/>
        <w:rPr>
          <w:rFonts w:ascii="Times New Roman" w:hAnsi="Times New Roman" w:cs="Times New Roman"/>
          <w:b/>
          <w:sz w:val="28"/>
        </w:rPr>
      </w:pPr>
    </w:p>
    <w:p w:rsidR="003B583B" w:rsidRP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t>Кількість підприємств, які здійснювали скид зворотних вод до поверхневих водних об’єктів по Луганській області у 2019 році складала 28. Об’єм скиду становить 39,74 млн куб. м, у тому числі по категоріях якості:</w:t>
      </w:r>
    </w:p>
    <w:p w:rsidR="003B583B" w:rsidRP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t>- без очистки – 0,705 млн куб. м (1,8 %),</w:t>
      </w:r>
    </w:p>
    <w:p w:rsidR="003B583B" w:rsidRP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t>- недостатньо очищених – 14,94 млн куб. м (37,6 %),</w:t>
      </w:r>
    </w:p>
    <w:p w:rsidR="003B583B" w:rsidRP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lastRenderedPageBreak/>
        <w:t xml:space="preserve">- нормативно очищених на очисних спорудах – 3,052 млн куб. м (7,7 %), </w:t>
      </w:r>
      <w:r w:rsidR="00695B06">
        <w:rPr>
          <w:rFonts w:ascii="Times New Roman" w:hAnsi="Times New Roman" w:cs="Times New Roman"/>
          <w:sz w:val="28"/>
        </w:rPr>
        <w:t xml:space="preserve">               </w:t>
      </w:r>
      <w:r w:rsidRPr="003B583B">
        <w:rPr>
          <w:rFonts w:ascii="Times New Roman" w:hAnsi="Times New Roman" w:cs="Times New Roman"/>
          <w:sz w:val="28"/>
        </w:rPr>
        <w:t xml:space="preserve">в т.ч. біологічної очистки – 0,418 млн куб. м, механічної очистки – </w:t>
      </w:r>
      <w:r w:rsidR="00695B06">
        <w:rPr>
          <w:rFonts w:ascii="Times New Roman" w:hAnsi="Times New Roman" w:cs="Times New Roman"/>
          <w:sz w:val="28"/>
        </w:rPr>
        <w:t xml:space="preserve">                                </w:t>
      </w:r>
      <w:r w:rsidRPr="003B583B">
        <w:rPr>
          <w:rFonts w:ascii="Times New Roman" w:hAnsi="Times New Roman" w:cs="Times New Roman"/>
          <w:sz w:val="28"/>
        </w:rPr>
        <w:t>2,635 млн куб. м</w:t>
      </w:r>
      <w:r w:rsidR="004A2838">
        <w:rPr>
          <w:rFonts w:ascii="Times New Roman" w:hAnsi="Times New Roman" w:cs="Times New Roman"/>
          <w:sz w:val="28"/>
        </w:rPr>
        <w:t>;</w:t>
      </w:r>
    </w:p>
    <w:p w:rsidR="003B583B" w:rsidRP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t>- нормативно чистих без очистки – 4,458 млн куб. м (11,2 %)</w:t>
      </w:r>
      <w:r w:rsidR="004A2838">
        <w:rPr>
          <w:rFonts w:ascii="Times New Roman" w:hAnsi="Times New Roman" w:cs="Times New Roman"/>
          <w:sz w:val="28"/>
        </w:rPr>
        <w:t>;</w:t>
      </w:r>
    </w:p>
    <w:p w:rsidR="003B583B" w:rsidRDefault="003B583B" w:rsidP="003B583B">
      <w:pPr>
        <w:pStyle w:val="a8"/>
        <w:spacing w:after="0" w:line="240" w:lineRule="auto"/>
        <w:ind w:left="0" w:firstLine="567"/>
        <w:jc w:val="both"/>
        <w:rPr>
          <w:rFonts w:ascii="Times New Roman" w:hAnsi="Times New Roman" w:cs="Times New Roman"/>
          <w:sz w:val="28"/>
        </w:rPr>
      </w:pPr>
      <w:r w:rsidRPr="003B583B">
        <w:rPr>
          <w:rFonts w:ascii="Times New Roman" w:hAnsi="Times New Roman" w:cs="Times New Roman"/>
          <w:sz w:val="28"/>
        </w:rPr>
        <w:t xml:space="preserve">- шахтних вод без використання і без категорії якості – 16,59 млн куб. м </w:t>
      </w:r>
      <w:r w:rsidR="00695B06">
        <w:rPr>
          <w:rFonts w:ascii="Times New Roman" w:hAnsi="Times New Roman" w:cs="Times New Roman"/>
          <w:sz w:val="28"/>
        </w:rPr>
        <w:t xml:space="preserve">       </w:t>
      </w:r>
      <w:r w:rsidRPr="003B583B">
        <w:rPr>
          <w:rFonts w:ascii="Times New Roman" w:hAnsi="Times New Roman" w:cs="Times New Roman"/>
          <w:sz w:val="28"/>
        </w:rPr>
        <w:t>(41,7 %)</w:t>
      </w:r>
      <w:r w:rsidR="00695B06">
        <w:rPr>
          <w:rFonts w:ascii="Times New Roman" w:hAnsi="Times New Roman" w:cs="Times New Roman"/>
          <w:sz w:val="28"/>
        </w:rPr>
        <w:t>.</w:t>
      </w:r>
    </w:p>
    <w:p w:rsidR="00695B06" w:rsidRDefault="00695B06" w:rsidP="003B583B">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Зі зворотними водами до поверхневих водних об’єктів басейну р. Сіверський Донець на території Луганської області за даними державного обліку водокористування у 2019 році було скинуто 7,9 тис.</w:t>
      </w:r>
      <w:r w:rsidR="0052117F">
        <w:rPr>
          <w:rFonts w:ascii="Times New Roman" w:hAnsi="Times New Roman" w:cs="Times New Roman"/>
          <w:sz w:val="28"/>
        </w:rPr>
        <w:t xml:space="preserve"> </w:t>
      </w:r>
      <w:r w:rsidRPr="00695B06">
        <w:rPr>
          <w:rFonts w:ascii="Times New Roman" w:hAnsi="Times New Roman" w:cs="Times New Roman"/>
          <w:sz w:val="28"/>
        </w:rPr>
        <w:t>т забруднюючих речовин, із них галузями економіки: промисловість – 4,7 тис. т (59,5 %) та комунальне господарство – 3,2 тис. т (40,5 %)</w:t>
      </w:r>
      <w:r>
        <w:rPr>
          <w:rFonts w:ascii="Times New Roman" w:hAnsi="Times New Roman" w:cs="Times New Roman"/>
          <w:sz w:val="28"/>
        </w:rPr>
        <w:t>.</w:t>
      </w:r>
    </w:p>
    <w:p w:rsidR="00695B06" w:rsidRDefault="00695B06" w:rsidP="003B583B">
      <w:pPr>
        <w:pStyle w:val="a8"/>
        <w:spacing w:after="0" w:line="240" w:lineRule="auto"/>
        <w:ind w:left="0" w:firstLine="567"/>
        <w:jc w:val="both"/>
        <w:rPr>
          <w:rFonts w:ascii="Times New Roman" w:hAnsi="Times New Roman" w:cs="Times New Roman"/>
          <w:sz w:val="28"/>
        </w:rPr>
      </w:pPr>
    </w:p>
    <w:p w:rsidR="00695B06" w:rsidRDefault="00695B06" w:rsidP="00695B06">
      <w:pPr>
        <w:pStyle w:val="a8"/>
        <w:spacing w:after="0" w:line="240" w:lineRule="auto"/>
        <w:ind w:left="0" w:firstLine="567"/>
        <w:jc w:val="center"/>
        <w:rPr>
          <w:rFonts w:ascii="Times New Roman" w:hAnsi="Times New Roman" w:cs="Times New Roman"/>
          <w:b/>
          <w:sz w:val="28"/>
        </w:rPr>
      </w:pPr>
      <w:r w:rsidRPr="00695B06">
        <w:rPr>
          <w:rFonts w:ascii="Times New Roman" w:hAnsi="Times New Roman" w:cs="Times New Roman"/>
          <w:b/>
          <w:sz w:val="28"/>
        </w:rPr>
        <w:t>Ймовірний стан водних ресурсів, якщо документ державного планування не буде затверджено</w:t>
      </w:r>
    </w:p>
    <w:p w:rsidR="00154A9E" w:rsidRDefault="00154A9E" w:rsidP="00695B06">
      <w:pPr>
        <w:pStyle w:val="a8"/>
        <w:spacing w:after="0" w:line="240" w:lineRule="auto"/>
        <w:ind w:left="0" w:firstLine="567"/>
        <w:jc w:val="center"/>
        <w:rPr>
          <w:rFonts w:ascii="Times New Roman" w:hAnsi="Times New Roman" w:cs="Times New Roman"/>
          <w:b/>
          <w:sz w:val="28"/>
        </w:rPr>
      </w:pPr>
    </w:p>
    <w:p w:rsidR="00695B06" w:rsidRPr="00695B06" w:rsidRDefault="00695B06" w:rsidP="00695B06">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 xml:space="preserve">З метою охорони водних ресурсів та їх раціонального використання в </w:t>
      </w:r>
      <w:proofErr w:type="spellStart"/>
      <w:r w:rsidRPr="00695B06">
        <w:rPr>
          <w:rFonts w:ascii="Times New Roman" w:hAnsi="Times New Roman" w:cs="Times New Roman"/>
          <w:sz w:val="28"/>
        </w:rPr>
        <w:t>проєкті</w:t>
      </w:r>
      <w:proofErr w:type="spellEnd"/>
      <w:r w:rsidRPr="00695B06">
        <w:rPr>
          <w:rFonts w:ascii="Times New Roman" w:hAnsi="Times New Roman" w:cs="Times New Roman"/>
          <w:sz w:val="28"/>
        </w:rPr>
        <w:t xml:space="preserve"> Програми визначено за необхідне виконання ряду пріоритетних завдань:</w:t>
      </w:r>
    </w:p>
    <w:p w:rsidR="00695B06" w:rsidRPr="00695B06" w:rsidRDefault="00695B06" w:rsidP="00695B06">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 проведення реконструкції, модернізації, нове будівництво об’єктів для забезпечення цілодобового водопостачан</w:t>
      </w:r>
      <w:r>
        <w:rPr>
          <w:rFonts w:ascii="Times New Roman" w:hAnsi="Times New Roman" w:cs="Times New Roman"/>
          <w:sz w:val="28"/>
        </w:rPr>
        <w:t>ня в містах та районах області;</w:t>
      </w:r>
    </w:p>
    <w:p w:rsidR="00695B06" w:rsidRPr="00695B06" w:rsidRDefault="00695B06" w:rsidP="00695B06">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 xml:space="preserve">- застосування </w:t>
      </w:r>
      <w:proofErr w:type="spellStart"/>
      <w:r w:rsidRPr="00695B06">
        <w:rPr>
          <w:rFonts w:ascii="Times New Roman" w:hAnsi="Times New Roman" w:cs="Times New Roman"/>
          <w:sz w:val="28"/>
        </w:rPr>
        <w:t>енергоефективних</w:t>
      </w:r>
      <w:proofErr w:type="spellEnd"/>
      <w:r w:rsidRPr="00695B06">
        <w:rPr>
          <w:rFonts w:ascii="Times New Roman" w:hAnsi="Times New Roman" w:cs="Times New Roman"/>
          <w:sz w:val="28"/>
        </w:rPr>
        <w:t xml:space="preserve"> технологій з метою зменшення втрат води та споживання електроенергії;</w:t>
      </w:r>
    </w:p>
    <w:p w:rsidR="00695B06" w:rsidRPr="00695B06" w:rsidRDefault="00695B06" w:rsidP="00695B06">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 відновлення, будівництво, реконструкція очисних споруд та мереж водовідведення.</w:t>
      </w:r>
    </w:p>
    <w:p w:rsidR="00695B06" w:rsidRPr="00695B06" w:rsidRDefault="00695B06" w:rsidP="00695B06">
      <w:pPr>
        <w:pStyle w:val="a8"/>
        <w:spacing w:after="0" w:line="240" w:lineRule="auto"/>
        <w:ind w:left="0" w:firstLine="567"/>
        <w:jc w:val="both"/>
        <w:rPr>
          <w:rFonts w:ascii="Times New Roman" w:hAnsi="Times New Roman" w:cs="Times New Roman"/>
          <w:sz w:val="28"/>
        </w:rPr>
      </w:pPr>
      <w:r w:rsidRPr="00695B06">
        <w:rPr>
          <w:rFonts w:ascii="Times New Roman" w:hAnsi="Times New Roman" w:cs="Times New Roman"/>
          <w:sz w:val="28"/>
        </w:rPr>
        <w:t>Якщо вищезазначені заходи Програми не будуть реалізовані, подальший розвиток сфери водопостачання та водовідведення не буде орієнтований на сучасні соціально-економічні вимоги і не буде відповідати найвищим екологічним стандартам, що спричинятиме додаткове техногенне навантаження на водні об’єкти, що розташовані на території області.</w:t>
      </w:r>
    </w:p>
    <w:p w:rsidR="00695B06" w:rsidRPr="00711614" w:rsidRDefault="00695B06" w:rsidP="00695B06">
      <w:pPr>
        <w:pStyle w:val="a8"/>
        <w:spacing w:after="0" w:line="240" w:lineRule="auto"/>
        <w:ind w:left="0" w:firstLine="567"/>
        <w:jc w:val="center"/>
        <w:rPr>
          <w:rFonts w:ascii="Times New Roman" w:hAnsi="Times New Roman" w:cs="Times New Roman"/>
          <w:sz w:val="28"/>
        </w:rPr>
      </w:pPr>
    </w:p>
    <w:p w:rsidR="00711614" w:rsidRDefault="00A51167" w:rsidP="00A51167">
      <w:pPr>
        <w:pStyle w:val="a8"/>
        <w:numPr>
          <w:ilvl w:val="1"/>
          <w:numId w:val="9"/>
        </w:numPr>
        <w:spacing w:after="0" w:line="240" w:lineRule="auto"/>
        <w:rPr>
          <w:rFonts w:ascii="Times New Roman" w:hAnsi="Times New Roman" w:cs="Times New Roman"/>
          <w:b/>
          <w:sz w:val="28"/>
          <w:lang w:val="ru-RU"/>
        </w:rPr>
      </w:pPr>
      <w:r w:rsidRPr="00A51167">
        <w:rPr>
          <w:rFonts w:ascii="Times New Roman" w:hAnsi="Times New Roman" w:cs="Times New Roman"/>
          <w:b/>
          <w:sz w:val="28"/>
        </w:rPr>
        <w:t>Поводження з відходами</w:t>
      </w:r>
    </w:p>
    <w:p w:rsidR="00A51167" w:rsidRPr="0052117F" w:rsidRDefault="00A51167" w:rsidP="00A51167">
      <w:pPr>
        <w:spacing w:after="0" w:line="240" w:lineRule="auto"/>
        <w:rPr>
          <w:rFonts w:ascii="Times New Roman" w:hAnsi="Times New Roman" w:cs="Times New Roman"/>
          <w:b/>
          <w:sz w:val="28"/>
        </w:rPr>
      </w:pPr>
    </w:p>
    <w:p w:rsidR="00A51167" w:rsidRPr="0052117F" w:rsidRDefault="00A51167" w:rsidP="00A51167">
      <w:pPr>
        <w:pStyle w:val="a8"/>
        <w:spacing w:after="0" w:line="240" w:lineRule="auto"/>
        <w:ind w:left="0" w:firstLine="567"/>
        <w:jc w:val="center"/>
        <w:rPr>
          <w:rFonts w:ascii="Times New Roman" w:hAnsi="Times New Roman" w:cs="Times New Roman"/>
          <w:b/>
          <w:sz w:val="28"/>
        </w:rPr>
      </w:pPr>
      <w:r w:rsidRPr="0052117F">
        <w:rPr>
          <w:rFonts w:ascii="Times New Roman" w:hAnsi="Times New Roman" w:cs="Times New Roman"/>
          <w:b/>
          <w:sz w:val="28"/>
        </w:rPr>
        <w:t>Структура утворення та накопичення відходів</w:t>
      </w:r>
    </w:p>
    <w:p w:rsidR="00A51167" w:rsidRPr="0052117F" w:rsidRDefault="00A51167" w:rsidP="00A51167">
      <w:pPr>
        <w:pStyle w:val="a8"/>
        <w:spacing w:after="0" w:line="240" w:lineRule="auto"/>
        <w:ind w:left="0" w:firstLine="567"/>
        <w:jc w:val="center"/>
        <w:rPr>
          <w:rFonts w:ascii="Times New Roman" w:hAnsi="Times New Roman" w:cs="Times New Roman"/>
          <w:sz w:val="28"/>
        </w:rPr>
      </w:pPr>
    </w:p>
    <w:p w:rsidR="00A51167" w:rsidRPr="0052117F" w:rsidRDefault="00A51167" w:rsidP="00A51167">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За попередніми даними Головного управління статистики у Луганській області, в 2019 році в області утворилося 443,44 тис. т відходів І-ІV класів небезпеки (79,5 % відносно до 2018 року), з яких від економічної діяльності – 349,18 тис. т, від домогосподарств – 94,26 тис. т.</w:t>
      </w:r>
    </w:p>
    <w:p w:rsidR="00A51167" w:rsidRPr="0052117F" w:rsidRDefault="00A51167" w:rsidP="00A51167">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За ступенем небезпечності суб’єктами господарювання області було утворено 5,51 тис. т відходів І класу небезпеки, 0,27 тис. т – ІІ класу небезпеки, 5,46 тис. т – ІІІ класу небезпеки та 432,20 тис. т – ІV класу небезпеки.</w:t>
      </w:r>
    </w:p>
    <w:p w:rsidR="00A51167" w:rsidRPr="0052117F" w:rsidRDefault="00A51167" w:rsidP="00A51167">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Найбільшими утворювачами відходів на підконтрольній частині області є ВП «Луганська ТЕС» ТОВ «ДТЕК СХІДЕНЕРГО», </w:t>
      </w:r>
      <w:proofErr w:type="spellStart"/>
      <w:r w:rsidRPr="0052117F">
        <w:rPr>
          <w:rFonts w:ascii="Times New Roman" w:hAnsi="Times New Roman" w:cs="Times New Roman"/>
          <w:sz w:val="28"/>
        </w:rPr>
        <w:t>ПрАТ</w:t>
      </w:r>
      <w:proofErr w:type="spellEnd"/>
      <w:r w:rsidRPr="0052117F">
        <w:rPr>
          <w:rFonts w:ascii="Times New Roman" w:hAnsi="Times New Roman" w:cs="Times New Roman"/>
          <w:sz w:val="28"/>
        </w:rPr>
        <w:t xml:space="preserve"> «</w:t>
      </w:r>
      <w:proofErr w:type="spellStart"/>
      <w:r w:rsidRPr="0052117F">
        <w:rPr>
          <w:rFonts w:ascii="Times New Roman" w:hAnsi="Times New Roman" w:cs="Times New Roman"/>
          <w:sz w:val="28"/>
        </w:rPr>
        <w:t>Рубіжанський</w:t>
      </w:r>
      <w:proofErr w:type="spellEnd"/>
      <w:r w:rsidRPr="0052117F">
        <w:rPr>
          <w:rFonts w:ascii="Times New Roman" w:hAnsi="Times New Roman" w:cs="Times New Roman"/>
          <w:sz w:val="28"/>
        </w:rPr>
        <w:t xml:space="preserve"> картонно-тарний комбінат», ТОВ «Науково-виробниче підприємство «Зоря», </w:t>
      </w:r>
      <w:proofErr w:type="spellStart"/>
      <w:r w:rsidRPr="0052117F">
        <w:rPr>
          <w:rFonts w:ascii="Times New Roman" w:hAnsi="Times New Roman" w:cs="Times New Roman"/>
          <w:sz w:val="28"/>
        </w:rPr>
        <w:t>ПрАТ</w:t>
      </w:r>
      <w:proofErr w:type="spellEnd"/>
      <w:r w:rsidRPr="0052117F">
        <w:rPr>
          <w:rFonts w:ascii="Times New Roman" w:hAnsi="Times New Roman" w:cs="Times New Roman"/>
          <w:sz w:val="28"/>
        </w:rPr>
        <w:t xml:space="preserve"> </w:t>
      </w:r>
      <w:r w:rsidRPr="0052117F">
        <w:rPr>
          <w:rFonts w:ascii="Times New Roman" w:hAnsi="Times New Roman" w:cs="Times New Roman"/>
          <w:sz w:val="28"/>
        </w:rPr>
        <w:lastRenderedPageBreak/>
        <w:t>«</w:t>
      </w:r>
      <w:proofErr w:type="spellStart"/>
      <w:r w:rsidRPr="0052117F">
        <w:rPr>
          <w:rFonts w:ascii="Times New Roman" w:hAnsi="Times New Roman" w:cs="Times New Roman"/>
          <w:sz w:val="28"/>
        </w:rPr>
        <w:t>Сєвєродонецьке</w:t>
      </w:r>
      <w:proofErr w:type="spellEnd"/>
      <w:r w:rsidRPr="0052117F">
        <w:rPr>
          <w:rFonts w:ascii="Times New Roman" w:hAnsi="Times New Roman" w:cs="Times New Roman"/>
          <w:sz w:val="28"/>
        </w:rPr>
        <w:t xml:space="preserve"> об’єднання АЗОТ», шахти ПАТ «</w:t>
      </w:r>
      <w:proofErr w:type="spellStart"/>
      <w:r w:rsidRPr="0052117F">
        <w:rPr>
          <w:rFonts w:ascii="Times New Roman" w:hAnsi="Times New Roman" w:cs="Times New Roman"/>
          <w:sz w:val="28"/>
        </w:rPr>
        <w:t>Лисичанськвугілля</w:t>
      </w:r>
      <w:proofErr w:type="spellEnd"/>
      <w:r w:rsidRPr="0052117F">
        <w:rPr>
          <w:rFonts w:ascii="Times New Roman" w:hAnsi="Times New Roman" w:cs="Times New Roman"/>
          <w:sz w:val="28"/>
        </w:rPr>
        <w:t>» та ДП «</w:t>
      </w:r>
      <w:proofErr w:type="spellStart"/>
      <w:r w:rsidRPr="0052117F">
        <w:rPr>
          <w:rFonts w:ascii="Times New Roman" w:hAnsi="Times New Roman" w:cs="Times New Roman"/>
          <w:sz w:val="28"/>
        </w:rPr>
        <w:t>Первомайськвугілля</w:t>
      </w:r>
      <w:proofErr w:type="spellEnd"/>
      <w:r w:rsidRPr="0052117F">
        <w:rPr>
          <w:rFonts w:ascii="Times New Roman" w:hAnsi="Times New Roman" w:cs="Times New Roman"/>
          <w:sz w:val="28"/>
        </w:rPr>
        <w:t>».</w:t>
      </w:r>
    </w:p>
    <w:p w:rsidR="00033C23" w:rsidRPr="0052117F" w:rsidRDefault="00033C23" w:rsidP="00A51167">
      <w:pPr>
        <w:pStyle w:val="a8"/>
        <w:spacing w:after="0" w:line="240" w:lineRule="auto"/>
        <w:ind w:left="0" w:firstLine="567"/>
        <w:jc w:val="both"/>
        <w:rPr>
          <w:rFonts w:ascii="Times New Roman" w:hAnsi="Times New Roman" w:cs="Times New Roman"/>
          <w:sz w:val="28"/>
        </w:rPr>
      </w:pPr>
    </w:p>
    <w:p w:rsidR="00033C23" w:rsidRPr="0052117F" w:rsidRDefault="00033C23" w:rsidP="00033C23">
      <w:pPr>
        <w:pStyle w:val="a8"/>
        <w:spacing w:after="0" w:line="240" w:lineRule="auto"/>
        <w:ind w:left="0" w:firstLine="567"/>
        <w:jc w:val="center"/>
        <w:rPr>
          <w:rFonts w:ascii="Times New Roman" w:hAnsi="Times New Roman" w:cs="Times New Roman"/>
          <w:b/>
          <w:sz w:val="28"/>
        </w:rPr>
      </w:pPr>
      <w:r w:rsidRPr="0052117F">
        <w:rPr>
          <w:rFonts w:ascii="Times New Roman" w:hAnsi="Times New Roman" w:cs="Times New Roman"/>
          <w:b/>
          <w:sz w:val="28"/>
        </w:rPr>
        <w:t>Поводження з відходами (збирання, зберігання, утилізація та видалення)</w:t>
      </w:r>
    </w:p>
    <w:p w:rsidR="00033C23" w:rsidRPr="0052117F" w:rsidRDefault="00033C23" w:rsidP="00033C23">
      <w:pPr>
        <w:pStyle w:val="a8"/>
        <w:spacing w:after="0" w:line="240" w:lineRule="auto"/>
        <w:ind w:left="0" w:firstLine="567"/>
        <w:jc w:val="center"/>
        <w:rPr>
          <w:rFonts w:ascii="Times New Roman" w:hAnsi="Times New Roman" w:cs="Times New Roman"/>
          <w:b/>
          <w:sz w:val="28"/>
        </w:rPr>
      </w:pPr>
    </w:p>
    <w:p w:rsidR="00A51167" w:rsidRPr="0052117F" w:rsidRDefault="00033C23" w:rsidP="00A51167">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На сьогодні в області склалася критична ситуація, пов’язана з поводженням з твердими побутовими відходами (далі – ТПВ), які не переробляються, а лише видаляються на легальних і нелегальних звалищах, що призводить до техногенного навантаження на землю та поглиблення екологічної і гуманітарної кризи в регіоні.</w:t>
      </w:r>
    </w:p>
    <w:p w:rsidR="00033C23" w:rsidRPr="0052117F" w:rsidRDefault="00033C23" w:rsidP="00033C2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Централізованою системою збору і вивозу відходів охоплено близько 62,9 % населення області. Відсутня така система переважно у сільській місцевості, де органам місцевого самоврядування важко забезпечити захоронення відходів через відсутність полігонів ТПВ. Це призводить до утворення великої кількості несанкціонованих сміттєзвалищ у природних рельєфних утвореннях – ярах, схилах, долинах річок, які є джерелами забруднення ґрунтів, поверхневих та підземних вод та повітря.</w:t>
      </w:r>
    </w:p>
    <w:p w:rsidR="00A51167" w:rsidRPr="0052117F" w:rsidRDefault="00033C23" w:rsidP="00A51167">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Відповідно до наказу Міністерства будівництва, архітектури та житлово-комунального господарства України від 19.09.2006 № 308 затверджена щорічна форма звітності «Звіт про поводження з твердими побутовими відходами». Згідно звіту за 2019 рік на території області, підконтрольній українські владі, зібрано 667916,83 м3 (158536,56 т) ТПВ. За звітній період </w:t>
      </w:r>
      <w:proofErr w:type="spellStart"/>
      <w:r w:rsidRPr="0052117F">
        <w:rPr>
          <w:rFonts w:ascii="Times New Roman" w:hAnsi="Times New Roman" w:cs="Times New Roman"/>
          <w:sz w:val="28"/>
        </w:rPr>
        <w:t>захоронено</w:t>
      </w:r>
      <w:proofErr w:type="spellEnd"/>
      <w:r w:rsidRPr="0052117F">
        <w:rPr>
          <w:rFonts w:ascii="Times New Roman" w:hAnsi="Times New Roman" w:cs="Times New Roman"/>
          <w:sz w:val="28"/>
        </w:rPr>
        <w:t xml:space="preserve"> на полігонах 672597,69 м3 (161586,14 т) ТПВ.</w:t>
      </w:r>
    </w:p>
    <w:p w:rsidR="00033C23" w:rsidRPr="0052117F" w:rsidRDefault="00033C23" w:rsidP="00A51167">
      <w:pPr>
        <w:pStyle w:val="a8"/>
        <w:spacing w:after="0" w:line="240" w:lineRule="auto"/>
        <w:ind w:left="0" w:firstLine="567"/>
        <w:jc w:val="both"/>
        <w:rPr>
          <w:rFonts w:ascii="Times New Roman" w:hAnsi="Times New Roman" w:cs="Times New Roman"/>
          <w:sz w:val="28"/>
        </w:rPr>
      </w:pPr>
    </w:p>
    <w:p w:rsidR="00033C23" w:rsidRPr="0052117F" w:rsidRDefault="00033C23" w:rsidP="00033C23">
      <w:pPr>
        <w:pStyle w:val="a8"/>
        <w:spacing w:after="0" w:line="240" w:lineRule="auto"/>
        <w:ind w:firstLine="567"/>
        <w:jc w:val="center"/>
        <w:rPr>
          <w:rFonts w:ascii="Times New Roman" w:hAnsi="Times New Roman" w:cs="Times New Roman"/>
          <w:b/>
          <w:sz w:val="28"/>
        </w:rPr>
      </w:pPr>
      <w:r w:rsidRPr="0052117F">
        <w:rPr>
          <w:rFonts w:ascii="Times New Roman" w:hAnsi="Times New Roman" w:cs="Times New Roman"/>
          <w:b/>
          <w:sz w:val="28"/>
        </w:rPr>
        <w:t>Ймовірний стан поводження з відходами, якщо документ державного планування не буде затверджено.</w:t>
      </w:r>
    </w:p>
    <w:p w:rsidR="00033C23" w:rsidRPr="0052117F" w:rsidRDefault="00033C23" w:rsidP="00033C23">
      <w:pPr>
        <w:pStyle w:val="a8"/>
        <w:spacing w:after="0" w:line="240" w:lineRule="auto"/>
        <w:ind w:firstLine="567"/>
        <w:jc w:val="center"/>
        <w:rPr>
          <w:rFonts w:ascii="Times New Roman" w:hAnsi="Times New Roman" w:cs="Times New Roman"/>
          <w:b/>
          <w:sz w:val="28"/>
        </w:rPr>
      </w:pPr>
    </w:p>
    <w:p w:rsidR="00033C23" w:rsidRPr="0052117F" w:rsidRDefault="00033C23" w:rsidP="00033C2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Виконання заходів Програми не спричинятиме додаткового навантаження у сфері поводження з відходами на території області. Можна зробити висновок, що у разі не затвердження Програми стан поводження з відходами залишиться не змінним.</w:t>
      </w:r>
    </w:p>
    <w:p w:rsidR="00A51167" w:rsidRPr="0052117F" w:rsidRDefault="00A51167" w:rsidP="00A51167">
      <w:pPr>
        <w:pStyle w:val="a8"/>
        <w:spacing w:after="0" w:line="240" w:lineRule="auto"/>
        <w:ind w:left="0" w:firstLine="567"/>
        <w:jc w:val="both"/>
        <w:rPr>
          <w:rFonts w:ascii="Times New Roman" w:hAnsi="Times New Roman" w:cs="Times New Roman"/>
          <w:sz w:val="28"/>
        </w:rPr>
      </w:pPr>
    </w:p>
    <w:p w:rsidR="003B7B32" w:rsidRPr="0052117F" w:rsidRDefault="003B7B32" w:rsidP="003B7B32">
      <w:pPr>
        <w:pStyle w:val="a8"/>
        <w:numPr>
          <w:ilvl w:val="1"/>
          <w:numId w:val="9"/>
        </w:numPr>
        <w:spacing w:after="0" w:line="240" w:lineRule="auto"/>
        <w:jc w:val="both"/>
        <w:rPr>
          <w:rFonts w:ascii="Times New Roman" w:hAnsi="Times New Roman" w:cs="Times New Roman"/>
          <w:b/>
          <w:sz w:val="28"/>
        </w:rPr>
      </w:pPr>
      <w:r w:rsidRPr="0052117F">
        <w:rPr>
          <w:rFonts w:ascii="Times New Roman" w:hAnsi="Times New Roman" w:cs="Times New Roman"/>
          <w:b/>
          <w:sz w:val="28"/>
        </w:rPr>
        <w:t>Земельні ресурси та ґрунти</w:t>
      </w:r>
    </w:p>
    <w:p w:rsidR="003B7B32" w:rsidRPr="0052117F" w:rsidRDefault="003B7B32" w:rsidP="003B7B32">
      <w:pPr>
        <w:spacing w:after="0" w:line="240" w:lineRule="auto"/>
        <w:jc w:val="both"/>
        <w:rPr>
          <w:rFonts w:ascii="Times New Roman" w:hAnsi="Times New Roman" w:cs="Times New Roman"/>
          <w:sz w:val="28"/>
        </w:rPr>
      </w:pP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Загальна площа земель Луганської області становить 1838,93 тис. га, у тому числі за деякими категоріями та угіддями:</w:t>
      </w:r>
    </w:p>
    <w:p w:rsidR="001305B3" w:rsidRPr="0052117F" w:rsidRDefault="001305B3" w:rsidP="001305B3">
      <w:pPr>
        <w:spacing w:after="0" w:line="240" w:lineRule="auto"/>
        <w:ind w:firstLine="567"/>
        <w:jc w:val="both"/>
        <w:rPr>
          <w:rFonts w:ascii="Times New Roman" w:hAnsi="Times New Roman" w:cs="Times New Roman"/>
          <w:sz w:val="28"/>
        </w:rPr>
      </w:pP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Сільгоспугіддя загалом 1404,06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 xml:space="preserve">Ліси та інші </w:t>
      </w:r>
      <w:r w:rsidR="00024F28" w:rsidRPr="0052117F">
        <w:rPr>
          <w:rFonts w:ascii="Times New Roman" w:hAnsi="Times New Roman" w:cs="Times New Roman"/>
          <w:sz w:val="28"/>
        </w:rPr>
        <w:t>лісо вкриті</w:t>
      </w:r>
      <w:r w:rsidRPr="0052117F">
        <w:rPr>
          <w:rFonts w:ascii="Times New Roman" w:hAnsi="Times New Roman" w:cs="Times New Roman"/>
          <w:sz w:val="28"/>
        </w:rPr>
        <w:t xml:space="preserve"> площі 246,558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Землі природоохоронного призначення 74,59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Землі водного фонду 16,05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Землі рекреаційного призначення 0,651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Забудовані землі 64,288 тис. га</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Відкриті землі без рослинного покриву</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lastRenderedPageBreak/>
        <w:t>або з незначним рослинним покривом</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(піски, яри, землі під зсувами, щебенем,</w:t>
      </w:r>
    </w:p>
    <w:p w:rsidR="001305B3"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галькою, голими скелями 64,09 тис. га</w:t>
      </w:r>
    </w:p>
    <w:p w:rsidR="003B7B32" w:rsidRPr="0052117F" w:rsidRDefault="001305B3" w:rsidP="001305B3">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Найбільша частка у структурі земель належить сільгоспугіддям - 1404,189 тис. га, або 76,35% від загальної площі області. Землі характеризуються різноманітністю ґрунтів, частина їх має несприятливі водно-фізичні і хімічні властивості.</w:t>
      </w:r>
    </w:p>
    <w:p w:rsidR="001305B3" w:rsidRPr="0052117F" w:rsidRDefault="001305B3" w:rsidP="0052117F">
      <w:pPr>
        <w:autoSpaceDE w:val="0"/>
        <w:autoSpaceDN w:val="0"/>
        <w:adjustRightInd w:val="0"/>
        <w:spacing w:after="0" w:line="240" w:lineRule="auto"/>
        <w:ind w:firstLine="567"/>
        <w:jc w:val="both"/>
        <w:rPr>
          <w:rFonts w:ascii="Times New Roman" w:hAnsi="Times New Roman" w:cs="Times New Roman"/>
          <w:color w:val="000000"/>
          <w:sz w:val="28"/>
          <w:szCs w:val="28"/>
        </w:rPr>
      </w:pPr>
      <w:r w:rsidRPr="0052117F">
        <w:rPr>
          <w:rFonts w:ascii="Times New Roman" w:hAnsi="Times New Roman" w:cs="Times New Roman"/>
          <w:color w:val="000000"/>
          <w:sz w:val="28"/>
          <w:szCs w:val="28"/>
        </w:rPr>
        <w:t xml:space="preserve">Сільськогосподарська </w:t>
      </w:r>
      <w:proofErr w:type="spellStart"/>
      <w:r w:rsidRPr="0052117F">
        <w:rPr>
          <w:rFonts w:ascii="Times New Roman" w:hAnsi="Times New Roman" w:cs="Times New Roman"/>
          <w:color w:val="000000"/>
          <w:sz w:val="28"/>
          <w:szCs w:val="28"/>
        </w:rPr>
        <w:t>освоєність</w:t>
      </w:r>
      <w:proofErr w:type="spellEnd"/>
      <w:r w:rsidRPr="0052117F">
        <w:rPr>
          <w:rFonts w:ascii="Times New Roman" w:hAnsi="Times New Roman" w:cs="Times New Roman"/>
          <w:color w:val="000000"/>
          <w:sz w:val="28"/>
          <w:szCs w:val="28"/>
        </w:rPr>
        <w:t xml:space="preserve"> області у 2019 році склала 76,35 %, частка ріллі в загальній площі сільськогосподарських угідь становить 53,34 %. </w:t>
      </w:r>
    </w:p>
    <w:p w:rsidR="00636AB5" w:rsidRPr="0052117F" w:rsidRDefault="001305B3" w:rsidP="00636AB5">
      <w:pPr>
        <w:autoSpaceDE w:val="0"/>
        <w:autoSpaceDN w:val="0"/>
        <w:adjustRightInd w:val="0"/>
        <w:spacing w:after="0" w:line="240" w:lineRule="auto"/>
        <w:ind w:firstLine="567"/>
        <w:rPr>
          <w:rFonts w:ascii="Times New Roman" w:hAnsi="Times New Roman" w:cs="Times New Roman"/>
          <w:color w:val="000000"/>
          <w:sz w:val="28"/>
          <w:szCs w:val="28"/>
        </w:rPr>
      </w:pPr>
      <w:r w:rsidRPr="0052117F">
        <w:rPr>
          <w:rFonts w:ascii="Times New Roman" w:hAnsi="Times New Roman" w:cs="Times New Roman"/>
          <w:color w:val="000000"/>
          <w:sz w:val="28"/>
          <w:szCs w:val="28"/>
        </w:rPr>
        <w:t>У 2019 році рекультивації порушених земель не проводилась.</w:t>
      </w:r>
    </w:p>
    <w:p w:rsidR="00636AB5" w:rsidRPr="0052117F" w:rsidRDefault="00636AB5" w:rsidP="00636AB5">
      <w:pPr>
        <w:autoSpaceDE w:val="0"/>
        <w:autoSpaceDN w:val="0"/>
        <w:adjustRightInd w:val="0"/>
        <w:spacing w:after="0" w:line="240" w:lineRule="auto"/>
        <w:ind w:firstLine="567"/>
        <w:rPr>
          <w:rFonts w:ascii="Times New Roman" w:hAnsi="Times New Roman" w:cs="Times New Roman"/>
          <w:color w:val="000000"/>
          <w:sz w:val="28"/>
          <w:szCs w:val="28"/>
        </w:rPr>
      </w:pPr>
    </w:p>
    <w:p w:rsidR="001305B3" w:rsidRPr="0052117F" w:rsidRDefault="00636AB5" w:rsidP="00636AB5">
      <w:pPr>
        <w:autoSpaceDE w:val="0"/>
        <w:autoSpaceDN w:val="0"/>
        <w:adjustRightInd w:val="0"/>
        <w:spacing w:after="0" w:line="240" w:lineRule="auto"/>
        <w:ind w:firstLine="567"/>
        <w:rPr>
          <w:rFonts w:ascii="Times New Roman" w:hAnsi="Times New Roman" w:cs="Times New Roman"/>
          <w:color w:val="000000"/>
          <w:sz w:val="28"/>
          <w:szCs w:val="28"/>
        </w:rPr>
      </w:pPr>
      <w:r w:rsidRPr="0052117F">
        <w:rPr>
          <w:rFonts w:ascii="Times New Roman" w:hAnsi="Times New Roman" w:cs="Times New Roman"/>
          <w:iCs/>
          <w:color w:val="000000"/>
          <w:sz w:val="28"/>
          <w:szCs w:val="28"/>
        </w:rPr>
        <w:t>Порушення та рекультивація земель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276"/>
        <w:gridCol w:w="1275"/>
        <w:gridCol w:w="1276"/>
        <w:gridCol w:w="1418"/>
        <w:gridCol w:w="1417"/>
      </w:tblGrid>
      <w:tr w:rsidR="00636AB5" w:rsidRPr="0052117F" w:rsidTr="00636AB5">
        <w:trPr>
          <w:trHeight w:val="90"/>
        </w:trPr>
        <w:tc>
          <w:tcPr>
            <w:tcW w:w="3227" w:type="dxa"/>
          </w:tcPr>
          <w:p w:rsidR="00636AB5" w:rsidRPr="0052117F" w:rsidRDefault="00636AB5" w:rsidP="00636AB5">
            <w:pPr>
              <w:autoSpaceDE w:val="0"/>
              <w:autoSpaceDN w:val="0"/>
              <w:adjustRightInd w:val="0"/>
              <w:spacing w:after="0" w:line="240" w:lineRule="auto"/>
              <w:rPr>
                <w:rFonts w:ascii="Times New Roman" w:hAnsi="Times New Roman" w:cs="Times New Roman"/>
                <w:color w:val="000000"/>
                <w:sz w:val="20"/>
                <w:szCs w:val="20"/>
              </w:rPr>
            </w:pPr>
          </w:p>
        </w:tc>
        <w:tc>
          <w:tcPr>
            <w:tcW w:w="1276" w:type="dxa"/>
          </w:tcPr>
          <w:p w:rsidR="00636AB5" w:rsidRPr="0052117F" w:rsidRDefault="00636AB5" w:rsidP="00636AB5">
            <w:pPr>
              <w:autoSpaceDE w:val="0"/>
              <w:autoSpaceDN w:val="0"/>
              <w:adjustRightInd w:val="0"/>
              <w:spacing w:after="0" w:line="240" w:lineRule="auto"/>
              <w:jc w:val="center"/>
              <w:rPr>
                <w:rFonts w:ascii="Times New Roman" w:hAnsi="Times New Roman" w:cs="Times New Roman"/>
                <w:color w:val="000000"/>
                <w:sz w:val="20"/>
                <w:szCs w:val="20"/>
              </w:rPr>
            </w:pPr>
            <w:r w:rsidRPr="0052117F">
              <w:rPr>
                <w:rFonts w:ascii="Times New Roman" w:hAnsi="Times New Roman" w:cs="Times New Roman"/>
                <w:color w:val="000000"/>
                <w:sz w:val="20"/>
                <w:szCs w:val="20"/>
              </w:rPr>
              <w:t>2015</w:t>
            </w:r>
          </w:p>
        </w:tc>
        <w:tc>
          <w:tcPr>
            <w:tcW w:w="1275" w:type="dxa"/>
          </w:tcPr>
          <w:p w:rsidR="00636AB5" w:rsidRPr="0052117F" w:rsidRDefault="00636AB5" w:rsidP="00636AB5">
            <w:pPr>
              <w:autoSpaceDE w:val="0"/>
              <w:autoSpaceDN w:val="0"/>
              <w:adjustRightInd w:val="0"/>
              <w:spacing w:after="0" w:line="240" w:lineRule="auto"/>
              <w:jc w:val="center"/>
              <w:rPr>
                <w:rFonts w:ascii="Times New Roman" w:hAnsi="Times New Roman" w:cs="Times New Roman"/>
                <w:color w:val="000000"/>
                <w:sz w:val="20"/>
                <w:szCs w:val="20"/>
              </w:rPr>
            </w:pPr>
            <w:r w:rsidRPr="0052117F">
              <w:rPr>
                <w:rFonts w:ascii="Times New Roman" w:hAnsi="Times New Roman" w:cs="Times New Roman"/>
                <w:color w:val="000000"/>
                <w:sz w:val="20"/>
                <w:szCs w:val="20"/>
              </w:rPr>
              <w:t>2016</w:t>
            </w:r>
          </w:p>
        </w:tc>
        <w:tc>
          <w:tcPr>
            <w:tcW w:w="1276" w:type="dxa"/>
          </w:tcPr>
          <w:p w:rsidR="00636AB5" w:rsidRPr="0052117F" w:rsidRDefault="00636AB5" w:rsidP="00636AB5">
            <w:pPr>
              <w:autoSpaceDE w:val="0"/>
              <w:autoSpaceDN w:val="0"/>
              <w:adjustRightInd w:val="0"/>
              <w:spacing w:after="0" w:line="240" w:lineRule="auto"/>
              <w:jc w:val="center"/>
              <w:rPr>
                <w:rFonts w:ascii="Times New Roman" w:hAnsi="Times New Roman" w:cs="Times New Roman"/>
                <w:color w:val="000000"/>
                <w:sz w:val="20"/>
                <w:szCs w:val="20"/>
              </w:rPr>
            </w:pPr>
            <w:r w:rsidRPr="0052117F">
              <w:rPr>
                <w:rFonts w:ascii="Times New Roman" w:hAnsi="Times New Roman" w:cs="Times New Roman"/>
                <w:color w:val="000000"/>
                <w:sz w:val="20"/>
                <w:szCs w:val="20"/>
              </w:rPr>
              <w:t>2017</w:t>
            </w:r>
          </w:p>
        </w:tc>
        <w:tc>
          <w:tcPr>
            <w:tcW w:w="1418" w:type="dxa"/>
          </w:tcPr>
          <w:p w:rsidR="00636AB5" w:rsidRPr="0052117F" w:rsidRDefault="00636AB5" w:rsidP="00636AB5">
            <w:pPr>
              <w:autoSpaceDE w:val="0"/>
              <w:autoSpaceDN w:val="0"/>
              <w:adjustRightInd w:val="0"/>
              <w:spacing w:after="0" w:line="240" w:lineRule="auto"/>
              <w:jc w:val="center"/>
              <w:rPr>
                <w:rFonts w:ascii="Times New Roman" w:hAnsi="Times New Roman" w:cs="Times New Roman"/>
                <w:color w:val="000000"/>
                <w:sz w:val="20"/>
                <w:szCs w:val="20"/>
              </w:rPr>
            </w:pPr>
            <w:r w:rsidRPr="0052117F">
              <w:rPr>
                <w:rFonts w:ascii="Times New Roman" w:hAnsi="Times New Roman" w:cs="Times New Roman"/>
                <w:color w:val="000000"/>
                <w:sz w:val="20"/>
                <w:szCs w:val="20"/>
              </w:rPr>
              <w:t>2018</w:t>
            </w:r>
          </w:p>
        </w:tc>
        <w:tc>
          <w:tcPr>
            <w:tcW w:w="1417" w:type="dxa"/>
          </w:tcPr>
          <w:p w:rsidR="00636AB5" w:rsidRPr="0052117F" w:rsidRDefault="00636AB5" w:rsidP="00636AB5">
            <w:pPr>
              <w:autoSpaceDE w:val="0"/>
              <w:autoSpaceDN w:val="0"/>
              <w:adjustRightInd w:val="0"/>
              <w:spacing w:after="0" w:line="240" w:lineRule="auto"/>
              <w:jc w:val="center"/>
              <w:rPr>
                <w:rFonts w:ascii="Times New Roman" w:hAnsi="Times New Roman" w:cs="Times New Roman"/>
                <w:color w:val="000000"/>
                <w:sz w:val="20"/>
                <w:szCs w:val="20"/>
              </w:rPr>
            </w:pPr>
            <w:r w:rsidRPr="0052117F">
              <w:rPr>
                <w:rFonts w:ascii="Times New Roman" w:hAnsi="Times New Roman" w:cs="Times New Roman"/>
                <w:color w:val="000000"/>
                <w:sz w:val="20"/>
                <w:szCs w:val="20"/>
              </w:rPr>
              <w:t>2019</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Порушені, тис. га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1,956</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1,956</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1,956</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1,956</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1,956</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 до загальної площі території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0,103</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0,103</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0,103</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0,104</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0,101</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Відпрацьовані, тис. га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0,969</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0,969</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0,969</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0,969</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0,969</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 до загальної площі території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0,052</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0,052</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0,052</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0,052</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0,052</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Рекультивовані, тис. га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0,018</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w:t>
            </w:r>
          </w:p>
        </w:tc>
      </w:tr>
      <w:tr w:rsidR="001305B3" w:rsidRPr="0052117F" w:rsidTr="00636AB5">
        <w:trPr>
          <w:trHeight w:val="112"/>
        </w:trPr>
        <w:tc>
          <w:tcPr>
            <w:tcW w:w="3227" w:type="dxa"/>
          </w:tcPr>
          <w:p w:rsidR="001305B3" w:rsidRPr="0052117F" w:rsidRDefault="001305B3" w:rsidP="001305B3">
            <w:pPr>
              <w:autoSpaceDE w:val="0"/>
              <w:autoSpaceDN w:val="0"/>
              <w:adjustRightInd w:val="0"/>
              <w:spacing w:after="0" w:line="240" w:lineRule="auto"/>
              <w:rPr>
                <w:rFonts w:ascii="Times New Roman" w:hAnsi="Times New Roman" w:cs="Times New Roman"/>
                <w:color w:val="000000"/>
                <w:sz w:val="24"/>
              </w:rPr>
            </w:pPr>
            <w:r w:rsidRPr="0052117F">
              <w:rPr>
                <w:rFonts w:ascii="Times New Roman" w:hAnsi="Times New Roman" w:cs="Times New Roman"/>
                <w:color w:val="000000"/>
                <w:sz w:val="24"/>
              </w:rPr>
              <w:t xml:space="preserve">% до загальної площі території </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0,001</w:t>
            </w:r>
          </w:p>
        </w:tc>
        <w:tc>
          <w:tcPr>
            <w:tcW w:w="1275"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w:t>
            </w:r>
          </w:p>
        </w:tc>
        <w:tc>
          <w:tcPr>
            <w:tcW w:w="1276"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w:t>
            </w:r>
          </w:p>
        </w:tc>
        <w:tc>
          <w:tcPr>
            <w:tcW w:w="1418"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szCs w:val="23"/>
              </w:rPr>
            </w:pPr>
            <w:r w:rsidRPr="0052117F">
              <w:rPr>
                <w:rFonts w:ascii="Times New Roman" w:hAnsi="Times New Roman" w:cs="Times New Roman"/>
                <w:color w:val="000000"/>
                <w:sz w:val="24"/>
                <w:szCs w:val="23"/>
              </w:rPr>
              <w:t>-</w:t>
            </w:r>
          </w:p>
        </w:tc>
        <w:tc>
          <w:tcPr>
            <w:tcW w:w="1417" w:type="dxa"/>
          </w:tcPr>
          <w:p w:rsidR="001305B3" w:rsidRPr="0052117F" w:rsidRDefault="001305B3" w:rsidP="00636AB5">
            <w:pPr>
              <w:autoSpaceDE w:val="0"/>
              <w:autoSpaceDN w:val="0"/>
              <w:adjustRightInd w:val="0"/>
              <w:spacing w:after="0" w:line="240" w:lineRule="auto"/>
              <w:jc w:val="center"/>
              <w:rPr>
                <w:rFonts w:ascii="Times New Roman" w:hAnsi="Times New Roman" w:cs="Times New Roman"/>
                <w:color w:val="000000"/>
                <w:sz w:val="24"/>
              </w:rPr>
            </w:pPr>
            <w:r w:rsidRPr="0052117F">
              <w:rPr>
                <w:rFonts w:ascii="Times New Roman" w:hAnsi="Times New Roman" w:cs="Times New Roman"/>
                <w:color w:val="000000"/>
                <w:sz w:val="24"/>
              </w:rPr>
              <w:t>-</w:t>
            </w:r>
          </w:p>
        </w:tc>
      </w:tr>
    </w:tbl>
    <w:p w:rsidR="003B7B32" w:rsidRPr="0052117F" w:rsidRDefault="003B7B32" w:rsidP="003B7B32">
      <w:pPr>
        <w:spacing w:after="0" w:line="240" w:lineRule="auto"/>
        <w:jc w:val="both"/>
        <w:rPr>
          <w:rFonts w:ascii="Times New Roman" w:hAnsi="Times New Roman" w:cs="Times New Roman"/>
          <w:sz w:val="32"/>
        </w:rPr>
      </w:pPr>
    </w:p>
    <w:p w:rsidR="00636AB5" w:rsidRPr="0052117F" w:rsidRDefault="00636AB5" w:rsidP="00636AB5">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 xml:space="preserve">Основною причиною повільних темпів проведення робіт з поліпшення малопродуктивних угідь та деградованих земель є відсутність актуальних даних по якісних і кількісних характеристиках земель. Роботи з якісної оцінки сільськогосподарських угідь області проводились у 1996 році, були визначені площі </w:t>
      </w:r>
      <w:proofErr w:type="spellStart"/>
      <w:r w:rsidRPr="0052117F">
        <w:rPr>
          <w:rFonts w:ascii="Times New Roman" w:hAnsi="Times New Roman" w:cs="Times New Roman"/>
          <w:sz w:val="28"/>
        </w:rPr>
        <w:t>дефляційно-небезпечних</w:t>
      </w:r>
      <w:proofErr w:type="spellEnd"/>
      <w:r w:rsidRPr="0052117F">
        <w:rPr>
          <w:rFonts w:ascii="Times New Roman" w:hAnsi="Times New Roman" w:cs="Times New Roman"/>
          <w:sz w:val="28"/>
        </w:rPr>
        <w:t xml:space="preserve"> угідь, з них еродованих, підданих водній та вітровій ерозії та інші. Протягом 1997-2019 років комплексні роботи з якісної оцінки земель не проводились.</w:t>
      </w:r>
    </w:p>
    <w:p w:rsidR="00636AB5" w:rsidRPr="0052117F" w:rsidRDefault="00636AB5" w:rsidP="00636AB5">
      <w:pPr>
        <w:spacing w:after="0" w:line="240" w:lineRule="auto"/>
        <w:ind w:firstLine="567"/>
        <w:jc w:val="both"/>
        <w:rPr>
          <w:rFonts w:ascii="Times New Roman" w:hAnsi="Times New Roman" w:cs="Times New Roman"/>
          <w:sz w:val="28"/>
        </w:rPr>
      </w:pPr>
    </w:p>
    <w:p w:rsidR="00636AB5" w:rsidRPr="0052117F" w:rsidRDefault="00636AB5" w:rsidP="00636AB5">
      <w:pPr>
        <w:spacing w:after="0" w:line="240" w:lineRule="auto"/>
        <w:ind w:firstLine="567"/>
        <w:jc w:val="both"/>
        <w:rPr>
          <w:rFonts w:ascii="Times New Roman" w:hAnsi="Times New Roman" w:cs="Times New Roman"/>
          <w:sz w:val="32"/>
        </w:rPr>
      </w:pPr>
      <w:r w:rsidRPr="0052117F">
        <w:rPr>
          <w:rFonts w:ascii="Times New Roman" w:hAnsi="Times New Roman" w:cs="Times New Roman"/>
          <w:sz w:val="28"/>
        </w:rPr>
        <w:t>Деградовані землі*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544"/>
      </w:tblGrid>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2018</w:t>
            </w:r>
          </w:p>
        </w:tc>
      </w:tr>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Площа земель, які піддаються деградації, тис. га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1205,10</w:t>
            </w:r>
          </w:p>
        </w:tc>
      </w:tr>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 до загальної площі території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64,24</w:t>
            </w:r>
          </w:p>
        </w:tc>
      </w:tr>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Деградація земель, у тому числі: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1205,10-</w:t>
            </w:r>
          </w:p>
        </w:tc>
      </w:tr>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вітрова ерозія, тис. га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910,30</w:t>
            </w:r>
          </w:p>
        </w:tc>
      </w:tr>
      <w:tr w:rsidR="00636AB5" w:rsidRPr="0052117F" w:rsidTr="00AF6E13">
        <w:trPr>
          <w:trHeight w:val="100"/>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водна ерозія, тис. га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sz w:val="24"/>
              </w:rPr>
              <w:t>294,80</w:t>
            </w:r>
          </w:p>
        </w:tc>
      </w:tr>
      <w:tr w:rsidR="00636AB5" w:rsidRPr="0052117F" w:rsidTr="00AF6E13">
        <w:trPr>
          <w:trHeight w:val="102"/>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сукупна ерозія, тис. га </w:t>
            </w:r>
          </w:p>
        </w:tc>
        <w:tc>
          <w:tcPr>
            <w:tcW w:w="3544" w:type="dxa"/>
          </w:tcPr>
          <w:p w:rsidR="00636AB5" w:rsidRPr="0052117F" w:rsidRDefault="00636AB5" w:rsidP="00636AB5">
            <w:pPr>
              <w:spacing w:after="0" w:line="240" w:lineRule="auto"/>
              <w:ind w:firstLine="567"/>
              <w:jc w:val="center"/>
              <w:rPr>
                <w:rFonts w:ascii="Times New Roman" w:hAnsi="Times New Roman" w:cs="Times New Roman"/>
                <w:sz w:val="24"/>
              </w:rPr>
            </w:pPr>
            <w:r w:rsidRPr="0052117F">
              <w:rPr>
                <w:rFonts w:ascii="Times New Roman" w:hAnsi="Times New Roman" w:cs="Times New Roman"/>
                <w:b/>
                <w:bCs/>
                <w:sz w:val="24"/>
              </w:rPr>
              <w:t>-</w:t>
            </w:r>
          </w:p>
        </w:tc>
      </w:tr>
      <w:tr w:rsidR="00636AB5" w:rsidRPr="0052117F" w:rsidTr="00AF6E13">
        <w:trPr>
          <w:trHeight w:val="102"/>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підкислення </w:t>
            </w:r>
            <w:proofErr w:type="spellStart"/>
            <w:r w:rsidRPr="0052117F">
              <w:rPr>
                <w:rFonts w:ascii="Times New Roman" w:hAnsi="Times New Roman" w:cs="Times New Roman"/>
                <w:sz w:val="24"/>
              </w:rPr>
              <w:t>грунтів</w:t>
            </w:r>
            <w:proofErr w:type="spellEnd"/>
            <w:r w:rsidRPr="0052117F">
              <w:rPr>
                <w:rFonts w:ascii="Times New Roman" w:hAnsi="Times New Roman" w:cs="Times New Roman"/>
                <w:sz w:val="24"/>
              </w:rPr>
              <w:t xml:space="preserve">, тис. га </w:t>
            </w:r>
          </w:p>
        </w:tc>
        <w:tc>
          <w:tcPr>
            <w:tcW w:w="3544"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b/>
                <w:bCs/>
                <w:sz w:val="24"/>
              </w:rPr>
              <w:t xml:space="preserve">- </w:t>
            </w:r>
          </w:p>
        </w:tc>
      </w:tr>
      <w:tr w:rsidR="00636AB5" w:rsidRPr="0052117F" w:rsidTr="00AF6E13">
        <w:trPr>
          <w:trHeight w:val="102"/>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засолення </w:t>
            </w:r>
            <w:proofErr w:type="spellStart"/>
            <w:r w:rsidRPr="0052117F">
              <w:rPr>
                <w:rFonts w:ascii="Times New Roman" w:hAnsi="Times New Roman" w:cs="Times New Roman"/>
                <w:sz w:val="24"/>
              </w:rPr>
              <w:t>грунтів</w:t>
            </w:r>
            <w:proofErr w:type="spellEnd"/>
            <w:r w:rsidRPr="0052117F">
              <w:rPr>
                <w:rFonts w:ascii="Times New Roman" w:hAnsi="Times New Roman" w:cs="Times New Roman"/>
                <w:sz w:val="24"/>
              </w:rPr>
              <w:t xml:space="preserve">, тис. га </w:t>
            </w:r>
          </w:p>
        </w:tc>
        <w:tc>
          <w:tcPr>
            <w:tcW w:w="3544"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b/>
                <w:bCs/>
                <w:sz w:val="24"/>
              </w:rPr>
              <w:t xml:space="preserve">- </w:t>
            </w:r>
          </w:p>
        </w:tc>
      </w:tr>
      <w:tr w:rsidR="00636AB5" w:rsidRPr="0052117F" w:rsidTr="00AF6E13">
        <w:trPr>
          <w:trHeight w:val="102"/>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Залуження </w:t>
            </w:r>
            <w:proofErr w:type="spellStart"/>
            <w:r w:rsidRPr="0052117F">
              <w:rPr>
                <w:rFonts w:ascii="Times New Roman" w:hAnsi="Times New Roman" w:cs="Times New Roman"/>
                <w:sz w:val="24"/>
              </w:rPr>
              <w:t>грунтів</w:t>
            </w:r>
            <w:proofErr w:type="spellEnd"/>
            <w:r w:rsidRPr="0052117F">
              <w:rPr>
                <w:rFonts w:ascii="Times New Roman" w:hAnsi="Times New Roman" w:cs="Times New Roman"/>
                <w:sz w:val="24"/>
              </w:rPr>
              <w:t xml:space="preserve">, тис. га </w:t>
            </w:r>
          </w:p>
        </w:tc>
        <w:tc>
          <w:tcPr>
            <w:tcW w:w="3544"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b/>
                <w:bCs/>
                <w:sz w:val="24"/>
              </w:rPr>
              <w:t xml:space="preserve">- </w:t>
            </w:r>
          </w:p>
        </w:tc>
      </w:tr>
      <w:tr w:rsidR="00636AB5" w:rsidRPr="0052117F" w:rsidTr="00AF6E13">
        <w:trPr>
          <w:trHeight w:val="102"/>
        </w:trPr>
        <w:tc>
          <w:tcPr>
            <w:tcW w:w="6487"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sz w:val="24"/>
              </w:rPr>
              <w:t xml:space="preserve">Зсуви землі, тис. га </w:t>
            </w:r>
          </w:p>
        </w:tc>
        <w:tc>
          <w:tcPr>
            <w:tcW w:w="3544" w:type="dxa"/>
          </w:tcPr>
          <w:p w:rsidR="00636AB5" w:rsidRPr="0052117F" w:rsidRDefault="00636AB5" w:rsidP="00636AB5">
            <w:pPr>
              <w:spacing w:after="0" w:line="240" w:lineRule="auto"/>
              <w:ind w:firstLine="567"/>
              <w:jc w:val="both"/>
              <w:rPr>
                <w:rFonts w:ascii="Times New Roman" w:hAnsi="Times New Roman" w:cs="Times New Roman"/>
                <w:sz w:val="24"/>
              </w:rPr>
            </w:pPr>
            <w:r w:rsidRPr="0052117F">
              <w:rPr>
                <w:rFonts w:ascii="Times New Roman" w:hAnsi="Times New Roman" w:cs="Times New Roman"/>
                <w:b/>
                <w:bCs/>
                <w:sz w:val="24"/>
              </w:rPr>
              <w:t xml:space="preserve">- </w:t>
            </w:r>
          </w:p>
        </w:tc>
      </w:tr>
    </w:tbl>
    <w:p w:rsidR="00636AB5" w:rsidRPr="0052117F" w:rsidRDefault="00636AB5" w:rsidP="00636AB5">
      <w:pPr>
        <w:spacing w:after="0" w:line="240" w:lineRule="auto"/>
        <w:ind w:firstLine="567"/>
        <w:jc w:val="both"/>
        <w:rPr>
          <w:i/>
          <w:iCs/>
          <w:sz w:val="23"/>
          <w:szCs w:val="23"/>
        </w:rPr>
      </w:pPr>
      <w:r w:rsidRPr="0052117F">
        <w:rPr>
          <w:i/>
          <w:iCs/>
          <w:sz w:val="23"/>
          <w:szCs w:val="23"/>
        </w:rPr>
        <w:t>*Протягом 2018 року обстеження щодо виявлення деградованих земель не проводилась, тому інформація надана на підставі даних з «</w:t>
      </w:r>
      <w:proofErr w:type="spellStart"/>
      <w:r w:rsidRPr="0052117F">
        <w:rPr>
          <w:i/>
          <w:iCs/>
          <w:sz w:val="23"/>
          <w:szCs w:val="23"/>
        </w:rPr>
        <w:t>Программы</w:t>
      </w:r>
      <w:proofErr w:type="spellEnd"/>
      <w:r w:rsidRPr="0052117F">
        <w:rPr>
          <w:i/>
          <w:iCs/>
          <w:sz w:val="23"/>
          <w:szCs w:val="23"/>
        </w:rPr>
        <w:t xml:space="preserve"> </w:t>
      </w:r>
      <w:proofErr w:type="spellStart"/>
      <w:r w:rsidRPr="0052117F">
        <w:rPr>
          <w:i/>
          <w:iCs/>
          <w:sz w:val="23"/>
          <w:szCs w:val="23"/>
        </w:rPr>
        <w:t>защиты</w:t>
      </w:r>
      <w:proofErr w:type="spellEnd"/>
      <w:r w:rsidRPr="0052117F">
        <w:rPr>
          <w:i/>
          <w:iCs/>
          <w:sz w:val="23"/>
          <w:szCs w:val="23"/>
        </w:rPr>
        <w:t xml:space="preserve"> </w:t>
      </w:r>
      <w:proofErr w:type="spellStart"/>
      <w:r w:rsidRPr="0052117F">
        <w:rPr>
          <w:i/>
          <w:iCs/>
          <w:sz w:val="23"/>
          <w:szCs w:val="23"/>
        </w:rPr>
        <w:t>почв</w:t>
      </w:r>
      <w:proofErr w:type="spellEnd"/>
      <w:r w:rsidRPr="0052117F">
        <w:rPr>
          <w:i/>
          <w:iCs/>
          <w:sz w:val="23"/>
          <w:szCs w:val="23"/>
        </w:rPr>
        <w:t xml:space="preserve"> от </w:t>
      </w:r>
      <w:proofErr w:type="spellStart"/>
      <w:r w:rsidRPr="0052117F">
        <w:rPr>
          <w:i/>
          <w:iCs/>
          <w:sz w:val="23"/>
          <w:szCs w:val="23"/>
        </w:rPr>
        <w:t>водной</w:t>
      </w:r>
      <w:proofErr w:type="spellEnd"/>
      <w:r w:rsidRPr="0052117F">
        <w:rPr>
          <w:i/>
          <w:iCs/>
          <w:sz w:val="23"/>
          <w:szCs w:val="23"/>
        </w:rPr>
        <w:t xml:space="preserve"> и </w:t>
      </w:r>
      <w:proofErr w:type="spellStart"/>
      <w:r w:rsidRPr="0052117F">
        <w:rPr>
          <w:i/>
          <w:iCs/>
          <w:sz w:val="23"/>
          <w:szCs w:val="23"/>
        </w:rPr>
        <w:t>ветровой</w:t>
      </w:r>
      <w:proofErr w:type="spellEnd"/>
      <w:r w:rsidRPr="0052117F">
        <w:rPr>
          <w:i/>
          <w:iCs/>
          <w:sz w:val="23"/>
          <w:szCs w:val="23"/>
        </w:rPr>
        <w:t xml:space="preserve"> </w:t>
      </w:r>
      <w:proofErr w:type="spellStart"/>
      <w:r w:rsidRPr="0052117F">
        <w:rPr>
          <w:i/>
          <w:iCs/>
          <w:sz w:val="23"/>
          <w:szCs w:val="23"/>
        </w:rPr>
        <w:t>эрозии</w:t>
      </w:r>
      <w:proofErr w:type="spellEnd"/>
      <w:r w:rsidRPr="0052117F">
        <w:rPr>
          <w:i/>
          <w:iCs/>
          <w:sz w:val="23"/>
          <w:szCs w:val="23"/>
        </w:rPr>
        <w:t xml:space="preserve">, других </w:t>
      </w:r>
      <w:proofErr w:type="spellStart"/>
      <w:r w:rsidRPr="0052117F">
        <w:rPr>
          <w:i/>
          <w:iCs/>
          <w:sz w:val="23"/>
          <w:szCs w:val="23"/>
        </w:rPr>
        <w:t>видов</w:t>
      </w:r>
      <w:proofErr w:type="spellEnd"/>
      <w:r w:rsidRPr="0052117F">
        <w:rPr>
          <w:i/>
          <w:iCs/>
          <w:sz w:val="23"/>
          <w:szCs w:val="23"/>
        </w:rPr>
        <w:t xml:space="preserve"> </w:t>
      </w:r>
      <w:proofErr w:type="spellStart"/>
      <w:r w:rsidRPr="0052117F">
        <w:rPr>
          <w:i/>
          <w:iCs/>
          <w:sz w:val="23"/>
          <w:szCs w:val="23"/>
        </w:rPr>
        <w:t>деградации</w:t>
      </w:r>
      <w:proofErr w:type="spellEnd"/>
      <w:r w:rsidRPr="0052117F">
        <w:rPr>
          <w:i/>
          <w:iCs/>
          <w:sz w:val="23"/>
          <w:szCs w:val="23"/>
        </w:rPr>
        <w:t xml:space="preserve"> земель», виконаної на замовлення головного управління </w:t>
      </w:r>
      <w:proofErr w:type="spellStart"/>
      <w:r w:rsidRPr="0052117F">
        <w:rPr>
          <w:i/>
          <w:iCs/>
          <w:sz w:val="23"/>
          <w:szCs w:val="23"/>
        </w:rPr>
        <w:t>Держгеокадастру</w:t>
      </w:r>
      <w:proofErr w:type="spellEnd"/>
      <w:r w:rsidRPr="0052117F">
        <w:rPr>
          <w:i/>
          <w:iCs/>
          <w:sz w:val="23"/>
          <w:szCs w:val="23"/>
        </w:rPr>
        <w:t xml:space="preserve"> у Луганській області.</w:t>
      </w:r>
    </w:p>
    <w:p w:rsidR="00463DD5" w:rsidRPr="0052117F" w:rsidRDefault="00463DD5" w:rsidP="00463DD5">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lastRenderedPageBreak/>
        <w:t>Внаслідок реформування земельних відносин у сільськогосподарському виробництві зруйнована система заходів щодо охорони земель від негативних факторів: порушені ґрунтозахисні сівозміни, не вживаються заходи по боротьбі з бур’янами, не вносяться органічні добрива, тощо.</w:t>
      </w:r>
    </w:p>
    <w:p w:rsidR="00463DD5" w:rsidRPr="0052117F" w:rsidRDefault="00463DD5" w:rsidP="00463DD5">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В процесі діяльності гірничодобувної промисловості, несанкціонованого видобування корисних копалин відкритим способом відбувається порушення земель на значних площах, що також призводить до деградації.</w:t>
      </w:r>
    </w:p>
    <w:p w:rsidR="00636AB5" w:rsidRPr="0052117F" w:rsidRDefault="00636AB5" w:rsidP="00636AB5">
      <w:pPr>
        <w:spacing w:after="0" w:line="240" w:lineRule="auto"/>
        <w:ind w:firstLine="567"/>
        <w:jc w:val="both"/>
        <w:rPr>
          <w:rFonts w:ascii="Times New Roman" w:hAnsi="Times New Roman" w:cs="Times New Roman"/>
          <w:sz w:val="28"/>
        </w:rPr>
      </w:pPr>
    </w:p>
    <w:p w:rsidR="00463DD5" w:rsidRPr="0052117F" w:rsidRDefault="00463DD5" w:rsidP="00463DD5">
      <w:pPr>
        <w:spacing w:after="0" w:line="240" w:lineRule="auto"/>
        <w:ind w:firstLine="567"/>
        <w:jc w:val="center"/>
        <w:rPr>
          <w:rFonts w:ascii="Times New Roman" w:hAnsi="Times New Roman" w:cs="Times New Roman"/>
          <w:b/>
          <w:sz w:val="28"/>
        </w:rPr>
      </w:pPr>
      <w:r w:rsidRPr="0052117F">
        <w:rPr>
          <w:rFonts w:ascii="Times New Roman" w:hAnsi="Times New Roman" w:cs="Times New Roman"/>
          <w:b/>
          <w:sz w:val="28"/>
        </w:rPr>
        <w:t>Ймовірний стан земельних ресурсів та ґрунту, якщо документ державного планування не буде затверджено.</w:t>
      </w:r>
    </w:p>
    <w:p w:rsidR="00463DD5" w:rsidRPr="0052117F" w:rsidRDefault="00463DD5" w:rsidP="00463DD5">
      <w:pPr>
        <w:spacing w:after="0" w:line="240" w:lineRule="auto"/>
        <w:ind w:firstLine="567"/>
        <w:jc w:val="center"/>
        <w:rPr>
          <w:rFonts w:ascii="Times New Roman" w:hAnsi="Times New Roman" w:cs="Times New Roman"/>
          <w:b/>
          <w:sz w:val="28"/>
        </w:rPr>
      </w:pPr>
    </w:p>
    <w:p w:rsidR="00463DD5" w:rsidRPr="0052117F" w:rsidRDefault="00463DD5" w:rsidP="00463DD5">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Виконання заходів Програми не спричинятиме додаткове техногенне навантаження на земельні ресурси, що розташовані на території області. Можна зробити висновок, що у разі не затвердження Програми стан земельних ресурсів залишиться не змінним.</w:t>
      </w:r>
    </w:p>
    <w:p w:rsidR="00463DD5" w:rsidRPr="0052117F" w:rsidRDefault="00463DD5" w:rsidP="00636AB5">
      <w:pPr>
        <w:spacing w:after="0" w:line="240" w:lineRule="auto"/>
        <w:ind w:firstLine="567"/>
        <w:jc w:val="both"/>
        <w:rPr>
          <w:rFonts w:ascii="Times New Roman" w:hAnsi="Times New Roman" w:cs="Times New Roman"/>
          <w:sz w:val="28"/>
        </w:rPr>
      </w:pPr>
    </w:p>
    <w:p w:rsidR="00463DD5" w:rsidRPr="0052117F" w:rsidRDefault="00463DD5" w:rsidP="00463DD5">
      <w:pPr>
        <w:spacing w:after="0" w:line="240" w:lineRule="auto"/>
        <w:ind w:firstLine="567"/>
        <w:jc w:val="both"/>
        <w:rPr>
          <w:rFonts w:ascii="Times New Roman" w:hAnsi="Times New Roman" w:cs="Times New Roman"/>
          <w:b/>
          <w:sz w:val="28"/>
        </w:rPr>
      </w:pPr>
      <w:r w:rsidRPr="0052117F">
        <w:rPr>
          <w:rFonts w:ascii="Times New Roman" w:hAnsi="Times New Roman" w:cs="Times New Roman"/>
          <w:b/>
          <w:sz w:val="28"/>
        </w:rPr>
        <w:t>2.6 Рослинний і тваринний світ</w:t>
      </w:r>
    </w:p>
    <w:p w:rsidR="00463DD5" w:rsidRPr="0052117F" w:rsidRDefault="00463DD5" w:rsidP="00463DD5">
      <w:pPr>
        <w:spacing w:after="0" w:line="240" w:lineRule="auto"/>
        <w:ind w:firstLine="567"/>
        <w:jc w:val="both"/>
        <w:rPr>
          <w:rFonts w:ascii="Times New Roman" w:hAnsi="Times New Roman" w:cs="Times New Roman"/>
          <w:sz w:val="28"/>
        </w:rPr>
      </w:pPr>
    </w:p>
    <w:p w:rsidR="00463DD5" w:rsidRPr="0052117F" w:rsidRDefault="00463DD5" w:rsidP="00463DD5">
      <w:pPr>
        <w:spacing w:after="0" w:line="240" w:lineRule="auto"/>
        <w:ind w:firstLine="567"/>
        <w:jc w:val="center"/>
        <w:rPr>
          <w:rFonts w:ascii="Times New Roman" w:hAnsi="Times New Roman" w:cs="Times New Roman"/>
          <w:b/>
          <w:sz w:val="28"/>
        </w:rPr>
      </w:pPr>
      <w:r w:rsidRPr="0052117F">
        <w:rPr>
          <w:rFonts w:ascii="Times New Roman" w:hAnsi="Times New Roman" w:cs="Times New Roman"/>
          <w:b/>
          <w:sz w:val="28"/>
        </w:rPr>
        <w:t>Рослинний світ</w:t>
      </w:r>
    </w:p>
    <w:p w:rsidR="00463DD5" w:rsidRPr="0052117F" w:rsidRDefault="00463DD5" w:rsidP="00463DD5">
      <w:pPr>
        <w:spacing w:after="0" w:line="240" w:lineRule="auto"/>
        <w:ind w:firstLine="567"/>
        <w:jc w:val="center"/>
        <w:rPr>
          <w:rFonts w:ascii="Times New Roman" w:hAnsi="Times New Roman" w:cs="Times New Roman"/>
          <w:b/>
          <w:sz w:val="28"/>
        </w:rPr>
      </w:pPr>
    </w:p>
    <w:p w:rsidR="00A51167" w:rsidRPr="0052117F" w:rsidRDefault="00463DD5" w:rsidP="00463DD5">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Природні ландшафти та ресурси Луганщини перебувають під значним техногенним та антропогенним навантаженням. Кліматичні умови степової зони створюють ризики для відтворення та розведення лісів, їх збереження.</w:t>
      </w:r>
    </w:p>
    <w:p w:rsidR="00463DD5" w:rsidRPr="0052117F" w:rsidRDefault="00463DD5" w:rsidP="00463DD5">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На території області зростає 1838 видів рослин, які відносяться до 629 родів і 141 родини. До Червоної Книги України занесені 129 видів переважно степової флори. </w:t>
      </w:r>
    </w:p>
    <w:p w:rsidR="00463DD5" w:rsidRPr="0052117F" w:rsidRDefault="00463DD5" w:rsidP="00463DD5">
      <w:pPr>
        <w:pStyle w:val="a8"/>
        <w:spacing w:after="0" w:line="240" w:lineRule="auto"/>
        <w:ind w:left="0" w:firstLine="567"/>
        <w:jc w:val="both"/>
        <w:rPr>
          <w:rFonts w:ascii="Times New Roman" w:hAnsi="Times New Roman" w:cs="Times New Roman"/>
          <w:sz w:val="28"/>
        </w:rPr>
      </w:pPr>
      <w:proofErr w:type="spellStart"/>
      <w:r w:rsidRPr="0052117F">
        <w:rPr>
          <w:rFonts w:ascii="Times New Roman" w:hAnsi="Times New Roman" w:cs="Times New Roman"/>
          <w:sz w:val="28"/>
        </w:rPr>
        <w:t>Фітоценофонд</w:t>
      </w:r>
      <w:proofErr w:type="spellEnd"/>
      <w:r w:rsidRPr="0052117F">
        <w:rPr>
          <w:rFonts w:ascii="Times New Roman" w:hAnsi="Times New Roman" w:cs="Times New Roman"/>
          <w:sz w:val="28"/>
        </w:rPr>
        <w:t xml:space="preserve"> складають близько 530 асоціацій, об’єднаних у 98 формацій і класів, які відносяться до 9 типів рослинності. Загальним типом рослинності є степи. У зв’язку з тим, що найбільша частина степів розорана, </w:t>
      </w:r>
      <w:proofErr w:type="spellStart"/>
      <w:r w:rsidRPr="0052117F">
        <w:rPr>
          <w:rFonts w:ascii="Times New Roman" w:hAnsi="Times New Roman" w:cs="Times New Roman"/>
          <w:sz w:val="28"/>
        </w:rPr>
        <w:t>ценотична</w:t>
      </w:r>
      <w:proofErr w:type="spellEnd"/>
      <w:r w:rsidRPr="0052117F">
        <w:rPr>
          <w:rFonts w:ascii="Times New Roman" w:hAnsi="Times New Roman" w:cs="Times New Roman"/>
          <w:sz w:val="28"/>
        </w:rPr>
        <w:t xml:space="preserve"> різноманітність зонального типу збільшена та складає приблизно 102 асоціації, що відноситься до 12 формацій, фітоценози яких збереглися в заповіднику та на землях, непридатних для сільськогосподарського користування. До степового типу рослинності належать також досить специфічні </w:t>
      </w:r>
      <w:proofErr w:type="spellStart"/>
      <w:r w:rsidRPr="0052117F">
        <w:rPr>
          <w:rFonts w:ascii="Times New Roman" w:hAnsi="Times New Roman" w:cs="Times New Roman"/>
          <w:sz w:val="28"/>
        </w:rPr>
        <w:t>агломеративні</w:t>
      </w:r>
      <w:proofErr w:type="spellEnd"/>
      <w:r w:rsidRPr="0052117F">
        <w:rPr>
          <w:rFonts w:ascii="Times New Roman" w:hAnsi="Times New Roman" w:cs="Times New Roman"/>
          <w:sz w:val="28"/>
        </w:rPr>
        <w:t xml:space="preserve"> співтовариства кам’янистих </w:t>
      </w:r>
      <w:proofErr w:type="spellStart"/>
      <w:r w:rsidRPr="0052117F">
        <w:rPr>
          <w:rFonts w:ascii="Times New Roman" w:hAnsi="Times New Roman" w:cs="Times New Roman"/>
          <w:sz w:val="28"/>
        </w:rPr>
        <w:t>відслоєнь</w:t>
      </w:r>
      <w:proofErr w:type="spellEnd"/>
      <w:r w:rsidRPr="0052117F">
        <w:rPr>
          <w:rFonts w:ascii="Times New Roman" w:hAnsi="Times New Roman" w:cs="Times New Roman"/>
          <w:sz w:val="28"/>
        </w:rPr>
        <w:t xml:space="preserve"> (на </w:t>
      </w:r>
      <w:proofErr w:type="spellStart"/>
      <w:r w:rsidRPr="0052117F">
        <w:rPr>
          <w:rFonts w:ascii="Times New Roman" w:hAnsi="Times New Roman" w:cs="Times New Roman"/>
          <w:sz w:val="28"/>
        </w:rPr>
        <w:t>крейдах</w:t>
      </w:r>
      <w:proofErr w:type="spellEnd"/>
      <w:r w:rsidRPr="0052117F">
        <w:rPr>
          <w:rFonts w:ascii="Times New Roman" w:hAnsi="Times New Roman" w:cs="Times New Roman"/>
          <w:sz w:val="28"/>
        </w:rPr>
        <w:t>, вапняках, мергелях, пісковиках, сланцях). У заплавах річок і на дні балок типовою є різноманітна лугова рослинність, а навколо водоймищ розвинута лучно-болотна, болотяна, прибережно-водяна та водяна рослинність.</w:t>
      </w:r>
    </w:p>
    <w:p w:rsidR="00463DD5" w:rsidRPr="0052117F" w:rsidRDefault="00463DD5" w:rsidP="00463DD5">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Негативним фактором впливу на порушення рослинного покриву також є проведення на території області військових дій. Внаслідок утворення вирв від вибухів руйнується </w:t>
      </w:r>
      <w:proofErr w:type="spellStart"/>
      <w:r w:rsidRPr="0052117F">
        <w:rPr>
          <w:rFonts w:ascii="Times New Roman" w:hAnsi="Times New Roman" w:cs="Times New Roman"/>
          <w:sz w:val="28"/>
        </w:rPr>
        <w:t>грунтовий</w:t>
      </w:r>
      <w:proofErr w:type="spellEnd"/>
      <w:r w:rsidRPr="0052117F">
        <w:rPr>
          <w:rFonts w:ascii="Times New Roman" w:hAnsi="Times New Roman" w:cs="Times New Roman"/>
          <w:sz w:val="28"/>
        </w:rPr>
        <w:t xml:space="preserve"> та рослинний покрив і ростуть інвазійні види рослин (злинка канадська, амброзія, лопух та ін.). Гостро стоїть проблема збереження степової рослинності. Через забруднення </w:t>
      </w:r>
      <w:proofErr w:type="spellStart"/>
      <w:r w:rsidRPr="0052117F">
        <w:rPr>
          <w:rFonts w:ascii="Times New Roman" w:hAnsi="Times New Roman" w:cs="Times New Roman"/>
          <w:sz w:val="28"/>
        </w:rPr>
        <w:t>грунтів</w:t>
      </w:r>
      <w:proofErr w:type="spellEnd"/>
      <w:r w:rsidRPr="0052117F">
        <w:rPr>
          <w:rFonts w:ascii="Times New Roman" w:hAnsi="Times New Roman" w:cs="Times New Roman"/>
          <w:sz w:val="28"/>
        </w:rPr>
        <w:t xml:space="preserve"> внаслідок обстрілів (у вирвах </w:t>
      </w:r>
      <w:proofErr w:type="spellStart"/>
      <w:r w:rsidRPr="0052117F">
        <w:rPr>
          <w:rFonts w:ascii="Times New Roman" w:hAnsi="Times New Roman" w:cs="Times New Roman"/>
          <w:sz w:val="28"/>
        </w:rPr>
        <w:t>грунти</w:t>
      </w:r>
      <w:proofErr w:type="spellEnd"/>
      <w:r w:rsidRPr="0052117F">
        <w:rPr>
          <w:rFonts w:ascii="Times New Roman" w:hAnsi="Times New Roman" w:cs="Times New Roman"/>
          <w:sz w:val="28"/>
        </w:rPr>
        <w:t xml:space="preserve"> мають значний вміст важких металів), через що відновлення рослинного покриву дуже повільне.</w:t>
      </w:r>
    </w:p>
    <w:p w:rsidR="00463DD5" w:rsidRPr="0052117F" w:rsidRDefault="004E3A53" w:rsidP="004E3A53">
      <w:pPr>
        <w:pStyle w:val="a8"/>
        <w:spacing w:after="0" w:line="240" w:lineRule="auto"/>
        <w:ind w:left="0" w:firstLine="567"/>
        <w:jc w:val="center"/>
        <w:rPr>
          <w:rFonts w:ascii="Times New Roman" w:hAnsi="Times New Roman" w:cs="Times New Roman"/>
          <w:b/>
          <w:sz w:val="28"/>
        </w:rPr>
      </w:pPr>
      <w:r w:rsidRPr="0052117F">
        <w:rPr>
          <w:rFonts w:ascii="Times New Roman" w:hAnsi="Times New Roman" w:cs="Times New Roman"/>
          <w:b/>
          <w:sz w:val="28"/>
        </w:rPr>
        <w:lastRenderedPageBreak/>
        <w:t>Ліси</w:t>
      </w:r>
    </w:p>
    <w:p w:rsidR="004E3A53" w:rsidRPr="0052117F" w:rsidRDefault="004E3A53" w:rsidP="004E3A53">
      <w:pPr>
        <w:pStyle w:val="a8"/>
        <w:spacing w:after="0" w:line="240" w:lineRule="auto"/>
        <w:ind w:left="0" w:firstLine="567"/>
        <w:jc w:val="center"/>
        <w:rPr>
          <w:rFonts w:ascii="Times New Roman" w:hAnsi="Times New Roman" w:cs="Times New Roman"/>
          <w:b/>
          <w:sz w:val="28"/>
        </w:rPr>
      </w:pPr>
    </w:p>
    <w:p w:rsidR="004E3A53" w:rsidRPr="0052117F" w:rsidRDefault="004E3A53" w:rsidP="004E3A5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У Луганській області станом на 01.01.2020 площа земель лісового фонду (ліси та інші </w:t>
      </w:r>
      <w:proofErr w:type="spellStart"/>
      <w:r w:rsidRPr="0052117F">
        <w:rPr>
          <w:rFonts w:ascii="Times New Roman" w:hAnsi="Times New Roman" w:cs="Times New Roman"/>
          <w:sz w:val="28"/>
        </w:rPr>
        <w:t>лісовкриті</w:t>
      </w:r>
      <w:proofErr w:type="spellEnd"/>
      <w:r w:rsidRPr="0052117F">
        <w:rPr>
          <w:rFonts w:ascii="Times New Roman" w:hAnsi="Times New Roman" w:cs="Times New Roman"/>
          <w:sz w:val="28"/>
        </w:rPr>
        <w:t xml:space="preserve"> площі) складає 240,691 тис. га. З них вкрито лісом – 214,779 тис. га. Знаходяться в постійному користуванні лісомисливських господарств 238,1 тис. га земель. З них вкрито лісом 171,9 тис. га.</w:t>
      </w:r>
    </w:p>
    <w:p w:rsidR="004E3A53" w:rsidRPr="0052117F" w:rsidRDefault="004E3A53" w:rsidP="004E3A5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Природні заплавні ліси області представлені дубовими (з </w:t>
      </w:r>
      <w:proofErr w:type="spellStart"/>
      <w:r w:rsidRPr="0052117F">
        <w:rPr>
          <w:rFonts w:ascii="Times New Roman" w:hAnsi="Times New Roman" w:cs="Times New Roman"/>
          <w:sz w:val="28"/>
        </w:rPr>
        <w:t>Quercus</w:t>
      </w:r>
      <w:proofErr w:type="spellEnd"/>
      <w:r w:rsidRPr="0052117F">
        <w:rPr>
          <w:rFonts w:ascii="Times New Roman" w:hAnsi="Times New Roman" w:cs="Times New Roman"/>
          <w:sz w:val="28"/>
        </w:rPr>
        <w:t xml:space="preserve"> </w:t>
      </w:r>
      <w:proofErr w:type="spellStart"/>
      <w:r w:rsidRPr="0052117F">
        <w:rPr>
          <w:rFonts w:ascii="Times New Roman" w:hAnsi="Times New Roman" w:cs="Times New Roman"/>
          <w:sz w:val="28"/>
        </w:rPr>
        <w:t>robur</w:t>
      </w:r>
      <w:proofErr w:type="spellEnd"/>
      <w:r w:rsidRPr="0052117F">
        <w:rPr>
          <w:rFonts w:ascii="Times New Roman" w:hAnsi="Times New Roman" w:cs="Times New Roman"/>
          <w:sz w:val="28"/>
        </w:rPr>
        <w:t xml:space="preserve">), і в’язово-дубовими угрупованнями, приуроченими до родючих ґрунтів центральної частини заплави. Найбільш поширеними асоціаціями дубових лісів є конвалієво-дубові, </w:t>
      </w:r>
      <w:proofErr w:type="spellStart"/>
      <w:r w:rsidRPr="0052117F">
        <w:rPr>
          <w:rFonts w:ascii="Times New Roman" w:hAnsi="Times New Roman" w:cs="Times New Roman"/>
          <w:sz w:val="28"/>
        </w:rPr>
        <w:t>вербозіллєво-дубова</w:t>
      </w:r>
      <w:proofErr w:type="spellEnd"/>
      <w:r w:rsidRPr="0052117F">
        <w:rPr>
          <w:rFonts w:ascii="Times New Roman" w:hAnsi="Times New Roman" w:cs="Times New Roman"/>
          <w:sz w:val="28"/>
        </w:rPr>
        <w:t>. Серед в’язово-дубових лісів переважають конвалієво-в’язово-дубові, розхідникові-в’язово-дубові угруповання. Менш поширені заплавні в’язові, осокорові, вербові та вільхові ліси. Заплави невеликих річок зайняті стрічковими лісами формації верби білої (</w:t>
      </w:r>
      <w:proofErr w:type="spellStart"/>
      <w:r w:rsidRPr="0052117F">
        <w:rPr>
          <w:rFonts w:ascii="Times New Roman" w:hAnsi="Times New Roman" w:cs="Times New Roman"/>
          <w:sz w:val="28"/>
        </w:rPr>
        <w:t>Salix</w:t>
      </w:r>
      <w:proofErr w:type="spellEnd"/>
      <w:r w:rsidRPr="0052117F">
        <w:rPr>
          <w:rFonts w:ascii="Times New Roman" w:hAnsi="Times New Roman" w:cs="Times New Roman"/>
          <w:sz w:val="28"/>
        </w:rPr>
        <w:t xml:space="preserve"> </w:t>
      </w:r>
      <w:proofErr w:type="spellStart"/>
      <w:r w:rsidRPr="0052117F">
        <w:rPr>
          <w:rFonts w:ascii="Times New Roman" w:hAnsi="Times New Roman" w:cs="Times New Roman"/>
          <w:sz w:val="28"/>
        </w:rPr>
        <w:t>alba</w:t>
      </w:r>
      <w:proofErr w:type="spellEnd"/>
      <w:r w:rsidRPr="0052117F">
        <w:rPr>
          <w:rFonts w:ascii="Times New Roman" w:hAnsi="Times New Roman" w:cs="Times New Roman"/>
          <w:sz w:val="28"/>
        </w:rPr>
        <w:t>). На півночі області в заплавах фрагментарно поширені осикові угруповання.</w:t>
      </w:r>
    </w:p>
    <w:p w:rsidR="004E3A53" w:rsidRPr="0052117F" w:rsidRDefault="004E3A53" w:rsidP="004E3A5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Пріоритетним в охороні лісів є збереження і надання охоронного статусу природним масивам. Найвищій пріоритет в охороні має бути наданий залишкам борів на піщаній терасі Сіверського Дінця і </w:t>
      </w:r>
      <w:proofErr w:type="spellStart"/>
      <w:r w:rsidRPr="0052117F">
        <w:rPr>
          <w:rFonts w:ascii="Times New Roman" w:hAnsi="Times New Roman" w:cs="Times New Roman"/>
          <w:sz w:val="28"/>
        </w:rPr>
        <w:t>схиловим</w:t>
      </w:r>
      <w:proofErr w:type="spellEnd"/>
      <w:r w:rsidRPr="0052117F">
        <w:rPr>
          <w:rFonts w:ascii="Times New Roman" w:hAnsi="Times New Roman" w:cs="Times New Roman"/>
          <w:sz w:val="28"/>
        </w:rPr>
        <w:t xml:space="preserve"> масивам на крутих правих берегах Дінця і </w:t>
      </w:r>
      <w:proofErr w:type="spellStart"/>
      <w:r w:rsidRPr="0052117F">
        <w:rPr>
          <w:rFonts w:ascii="Times New Roman" w:hAnsi="Times New Roman" w:cs="Times New Roman"/>
          <w:sz w:val="28"/>
        </w:rPr>
        <w:t>Айдара</w:t>
      </w:r>
      <w:proofErr w:type="spellEnd"/>
      <w:r w:rsidRPr="0052117F">
        <w:rPr>
          <w:rFonts w:ascii="Times New Roman" w:hAnsi="Times New Roman" w:cs="Times New Roman"/>
          <w:sz w:val="28"/>
        </w:rPr>
        <w:t xml:space="preserve">. Пріоритетним і виключно важливим також є збереження заплавних і байрачних лісових масивів, що знаходяться у доброму стані – відносно мало трансформовані та зберігають потенціал для відновлення. Наступною задачею в охороні лісів є охорона </w:t>
      </w:r>
      <w:proofErr w:type="spellStart"/>
      <w:r w:rsidRPr="0052117F">
        <w:rPr>
          <w:rFonts w:ascii="Times New Roman" w:hAnsi="Times New Roman" w:cs="Times New Roman"/>
          <w:sz w:val="28"/>
        </w:rPr>
        <w:t>старовікових</w:t>
      </w:r>
      <w:proofErr w:type="spellEnd"/>
      <w:r w:rsidRPr="0052117F">
        <w:rPr>
          <w:rFonts w:ascii="Times New Roman" w:hAnsi="Times New Roman" w:cs="Times New Roman"/>
          <w:sz w:val="28"/>
        </w:rPr>
        <w:t xml:space="preserve"> насаджень.</w:t>
      </w:r>
    </w:p>
    <w:p w:rsidR="004E3A53" w:rsidRPr="0052117F" w:rsidRDefault="004E3A53" w:rsidP="004E3A53">
      <w:pPr>
        <w:pStyle w:val="a8"/>
        <w:spacing w:after="0" w:line="240" w:lineRule="auto"/>
        <w:ind w:left="0" w:firstLine="567"/>
        <w:jc w:val="both"/>
        <w:rPr>
          <w:rFonts w:ascii="Times New Roman" w:hAnsi="Times New Roman" w:cs="Times New Roman"/>
          <w:sz w:val="28"/>
        </w:rPr>
      </w:pPr>
    </w:p>
    <w:p w:rsidR="004E3A53" w:rsidRPr="0052117F" w:rsidRDefault="004E3A53" w:rsidP="004E3A53">
      <w:pPr>
        <w:pStyle w:val="a8"/>
        <w:spacing w:after="0" w:line="240" w:lineRule="auto"/>
        <w:ind w:left="0" w:firstLine="567"/>
        <w:jc w:val="center"/>
        <w:rPr>
          <w:rFonts w:ascii="Times New Roman" w:hAnsi="Times New Roman" w:cs="Times New Roman"/>
          <w:b/>
          <w:sz w:val="28"/>
        </w:rPr>
      </w:pPr>
      <w:r w:rsidRPr="0052117F">
        <w:rPr>
          <w:rFonts w:ascii="Times New Roman" w:hAnsi="Times New Roman" w:cs="Times New Roman"/>
          <w:b/>
          <w:sz w:val="28"/>
        </w:rPr>
        <w:t>Тваринний світ</w:t>
      </w:r>
    </w:p>
    <w:p w:rsidR="004E3A53" w:rsidRPr="0052117F" w:rsidRDefault="004E3A53" w:rsidP="004E3A53">
      <w:pPr>
        <w:pStyle w:val="a8"/>
        <w:spacing w:after="0" w:line="240" w:lineRule="auto"/>
        <w:ind w:left="0" w:firstLine="567"/>
        <w:jc w:val="center"/>
        <w:rPr>
          <w:rFonts w:ascii="Times New Roman" w:hAnsi="Times New Roman" w:cs="Times New Roman"/>
          <w:b/>
          <w:sz w:val="28"/>
        </w:rPr>
      </w:pPr>
    </w:p>
    <w:p w:rsidR="004E3A53" w:rsidRPr="0052117F" w:rsidRDefault="004E3A53" w:rsidP="00E306A6">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Фауна Луганської області відрізняється розмаїтим видовим складом. На території області зустрічається один вид круглоротих, 48 </w:t>
      </w:r>
      <w:proofErr w:type="spellStart"/>
      <w:r w:rsidRPr="0052117F">
        <w:rPr>
          <w:rFonts w:ascii="Times New Roman" w:hAnsi="Times New Roman" w:cs="Times New Roman"/>
          <w:sz w:val="28"/>
        </w:rPr>
        <w:t>видиів</w:t>
      </w:r>
      <w:proofErr w:type="spellEnd"/>
      <w:r w:rsidRPr="0052117F">
        <w:rPr>
          <w:rFonts w:ascii="Times New Roman" w:hAnsi="Times New Roman" w:cs="Times New Roman"/>
          <w:sz w:val="28"/>
        </w:rPr>
        <w:t xml:space="preserve"> риб, 9 видів земноводних, 12 видів плазунів, 281 вид птахів та 77 видів ссавців.</w:t>
      </w:r>
    </w:p>
    <w:p w:rsidR="004E3A53" w:rsidRPr="0052117F" w:rsidRDefault="004E3A53" w:rsidP="004E3A53">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Скорочення місць, історично придатних для перебування диких тварин, безпосереднє знищення об’єктів тваринного світу, загальне техногенне навантаження на навколишнє природне середовище та надмірний рекреаційний тиск на природні комплекси в періоди відтворення диких тварин зумовлюють загальне збіднення видового та популяційного складу фауни області. Це потребує прийняття невідкладних заходів, спрямованих перш за все на забезпечення охорони місць існування тварин, суттєве підвищення ефективності контролю за їх використанням.</w:t>
      </w:r>
    </w:p>
    <w:p w:rsidR="00E306A6" w:rsidRPr="0052117F" w:rsidRDefault="00E306A6" w:rsidP="004E3A53">
      <w:pPr>
        <w:pStyle w:val="a8"/>
        <w:spacing w:after="0" w:line="240" w:lineRule="auto"/>
        <w:ind w:left="0" w:firstLine="567"/>
        <w:jc w:val="both"/>
        <w:rPr>
          <w:rFonts w:ascii="Times New Roman" w:hAnsi="Times New Roman" w:cs="Times New Roman"/>
          <w:sz w:val="28"/>
        </w:rPr>
      </w:pPr>
    </w:p>
    <w:p w:rsidR="00E306A6" w:rsidRPr="0052117F" w:rsidRDefault="00E306A6" w:rsidP="00E306A6">
      <w:pPr>
        <w:pStyle w:val="a8"/>
        <w:spacing w:after="0" w:line="240" w:lineRule="auto"/>
        <w:ind w:firstLine="567"/>
        <w:jc w:val="center"/>
        <w:rPr>
          <w:rFonts w:ascii="Times New Roman" w:hAnsi="Times New Roman" w:cs="Times New Roman"/>
          <w:b/>
          <w:sz w:val="28"/>
        </w:rPr>
      </w:pPr>
      <w:r w:rsidRPr="0052117F">
        <w:rPr>
          <w:rFonts w:ascii="Times New Roman" w:hAnsi="Times New Roman" w:cs="Times New Roman"/>
          <w:b/>
          <w:sz w:val="28"/>
        </w:rPr>
        <w:t>Ймовірний стан рослинного та тваринного світу, якщо документ державного планування не буде затверджено.</w:t>
      </w:r>
    </w:p>
    <w:p w:rsidR="00E306A6" w:rsidRPr="0052117F" w:rsidRDefault="00E306A6" w:rsidP="00E306A6">
      <w:pPr>
        <w:pStyle w:val="a8"/>
        <w:spacing w:after="0" w:line="240" w:lineRule="auto"/>
        <w:ind w:firstLine="567"/>
        <w:jc w:val="center"/>
        <w:rPr>
          <w:rFonts w:ascii="Times New Roman" w:hAnsi="Times New Roman" w:cs="Times New Roman"/>
          <w:b/>
          <w:sz w:val="28"/>
        </w:rPr>
      </w:pPr>
    </w:p>
    <w:p w:rsidR="00E306A6" w:rsidRPr="0052117F" w:rsidRDefault="00E306A6" w:rsidP="00E306A6">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Виконання заходів Програми не спричинятиме додаткове техногенне навантаження на об'єкти тваринного та рослинного світу на території області. Можна зробити висновок, що у разі не затвердження Програми стан рослинного та тваринного світу залишиться не змінним.</w:t>
      </w:r>
    </w:p>
    <w:p w:rsidR="004E3A53" w:rsidRPr="0052117F" w:rsidRDefault="004E3A53" w:rsidP="004E3A53">
      <w:pPr>
        <w:pStyle w:val="a8"/>
        <w:spacing w:after="0" w:line="240" w:lineRule="auto"/>
        <w:ind w:left="0" w:firstLine="567"/>
        <w:jc w:val="both"/>
        <w:rPr>
          <w:rFonts w:ascii="Times New Roman" w:hAnsi="Times New Roman" w:cs="Times New Roman"/>
          <w:sz w:val="28"/>
        </w:rPr>
      </w:pPr>
    </w:p>
    <w:p w:rsidR="00E306A6" w:rsidRPr="0052117F" w:rsidRDefault="00E306A6" w:rsidP="004E3A53">
      <w:pPr>
        <w:pStyle w:val="a8"/>
        <w:spacing w:after="0" w:line="240" w:lineRule="auto"/>
        <w:ind w:left="0" w:firstLine="567"/>
        <w:jc w:val="both"/>
        <w:rPr>
          <w:rFonts w:ascii="Times New Roman" w:hAnsi="Times New Roman" w:cs="Times New Roman"/>
          <w:b/>
          <w:sz w:val="28"/>
        </w:rPr>
      </w:pPr>
      <w:r w:rsidRPr="0052117F">
        <w:rPr>
          <w:rFonts w:ascii="Times New Roman" w:hAnsi="Times New Roman" w:cs="Times New Roman"/>
          <w:b/>
          <w:sz w:val="28"/>
        </w:rPr>
        <w:lastRenderedPageBreak/>
        <w:t>2.7</w:t>
      </w:r>
      <w:r w:rsidR="00005923" w:rsidRPr="0052117F">
        <w:rPr>
          <w:rFonts w:ascii="Times New Roman" w:hAnsi="Times New Roman" w:cs="Times New Roman"/>
          <w:b/>
          <w:sz w:val="28"/>
        </w:rPr>
        <w:t xml:space="preserve"> </w:t>
      </w:r>
      <w:r w:rsidRPr="0052117F">
        <w:rPr>
          <w:rFonts w:ascii="Times New Roman" w:hAnsi="Times New Roman" w:cs="Times New Roman"/>
          <w:b/>
          <w:sz w:val="28"/>
        </w:rPr>
        <w:t>Аналіз захворюваності населення</w:t>
      </w:r>
    </w:p>
    <w:p w:rsidR="00005923" w:rsidRPr="0052117F" w:rsidRDefault="00005923" w:rsidP="004E3A53">
      <w:pPr>
        <w:pStyle w:val="a8"/>
        <w:spacing w:after="0" w:line="240" w:lineRule="auto"/>
        <w:ind w:left="0" w:firstLine="567"/>
        <w:jc w:val="both"/>
        <w:rPr>
          <w:rFonts w:ascii="Times New Roman" w:hAnsi="Times New Roman" w:cs="Times New Roman"/>
          <w:b/>
          <w:sz w:val="28"/>
        </w:rPr>
      </w:pPr>
    </w:p>
    <w:p w:rsidR="00612BEB" w:rsidRPr="0052117F" w:rsidRDefault="00612BEB" w:rsidP="00612BEB">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Наявне населення </w:t>
      </w:r>
      <w:r w:rsidR="00B40DCC" w:rsidRPr="0052117F">
        <w:rPr>
          <w:rFonts w:ascii="Times New Roman" w:hAnsi="Times New Roman" w:cs="Times New Roman"/>
          <w:sz w:val="28"/>
        </w:rPr>
        <w:t xml:space="preserve">області </w:t>
      </w:r>
      <w:r w:rsidRPr="0052117F">
        <w:rPr>
          <w:rFonts w:ascii="Times New Roman" w:hAnsi="Times New Roman" w:cs="Times New Roman"/>
          <w:sz w:val="28"/>
        </w:rPr>
        <w:t xml:space="preserve">на 01.01.2019 (за даними </w:t>
      </w:r>
      <w:proofErr w:type="spellStart"/>
      <w:r w:rsidRPr="0052117F">
        <w:rPr>
          <w:rFonts w:ascii="Times New Roman" w:hAnsi="Times New Roman" w:cs="Times New Roman"/>
          <w:sz w:val="28"/>
        </w:rPr>
        <w:t>Держстату</w:t>
      </w:r>
      <w:proofErr w:type="spellEnd"/>
      <w:r w:rsidRPr="0052117F">
        <w:rPr>
          <w:rFonts w:ascii="Times New Roman" w:hAnsi="Times New Roman" w:cs="Times New Roman"/>
          <w:sz w:val="28"/>
        </w:rPr>
        <w:t xml:space="preserve"> України) складає 2151,8 тис. осіб (5,1 % від населення України).</w:t>
      </w:r>
    </w:p>
    <w:p w:rsidR="00005923" w:rsidRPr="0052117F" w:rsidRDefault="00612BEB" w:rsidP="00612BEB">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По території, підконтрольній українській владі, чисельність наявного населення на 01.01.2019 складає 684,1 тис. осіб. Крім того зареєстровано 280,6 тис. осіб, які отримали статус внутрішньо переміщених.</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Забруднення атмосферного повітря, якість питної води, накопичення відходів – основні чинники, які завдають шкоду здоров'ю населення. Стан забруднення атмосферного повітря впливає на здоров'я населення, шляхом загострення хронічних хвороб серцево-судинних, органів дихання, крові, нервової системи, алергічним проявом, тощо. Особливо це відчувається в районах житлової забудови, прилеглої до автомагістралей з інтенсивним транспортним рухом, де рівні забруднення повітря на порядок вищі ніж в районах, де відповідний рух відсутній, а також в зелених зонах відпочинку населення. Вихлопні гази автотранспорту містять різні сполуки (чадний газ, вуглеводні, оксиди азоту, альдегіди тощо), які, утворюючи </w:t>
      </w:r>
      <w:proofErr w:type="spellStart"/>
      <w:r w:rsidRPr="0052117F">
        <w:rPr>
          <w:rFonts w:ascii="Times New Roman" w:hAnsi="Times New Roman" w:cs="Times New Roman"/>
          <w:sz w:val="28"/>
        </w:rPr>
        <w:t>фотооксиданти</w:t>
      </w:r>
      <w:proofErr w:type="spellEnd"/>
      <w:r w:rsidRPr="0052117F">
        <w:rPr>
          <w:rFonts w:ascii="Times New Roman" w:hAnsi="Times New Roman" w:cs="Times New Roman"/>
          <w:sz w:val="28"/>
        </w:rPr>
        <w:t>, здійснюють подразнюючий, токсичний, канцерогенний, мутагенний вплив на людський організм. Чадний газ насичує людську кров, замість кисню сполучається з еритроцитами та переноситься до всіх органів.</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У людини порушується сон та працездатність, підвищується втомлюваність, послаблюється увага, різко змінюється настрій. При хронічному отруєнні чадним газом порушується робота нервової системи, печінки, нирок. Зростання кількості викидів свинцю в атмосферу відображується на здоров'ї населення міста і в першу чергу дітей. Автотранспорт, крім викидів забруднюючих речовин в атмосферу, також спричиняє негативне акустичне забруднення. Дослідження свідчать про те, що акустичне забруднення впливає на розвиток серцево-судинних захворювань, що є основною причиною смертності населення.</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У структурі захворюваності населення області за причинами пріоритетне місце займають органи дихання (49,2%), травми, отруєння (7,3%), хвороби системи кровообігу (6,8%), хвороби шкіри та підшкірної клітковини (6,1%), хвороби сечостатевої системи (5,4%), деякі інфекційні та паразитарні хвороби (4,7%).</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Чисельні дані свідчать про те, що в екологічно несприятливих районах реєструється збільшення рівня смертності та захворюваності населення, при цьому відстежується певний зв'язок з екологічними особливостями району.</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 метою посилення первинної профілактики захворювань серед населення прийняті заходи з посилення моніторингових спостережень за впливом факторів середовища життєдіяльності на здоров’я людини, при цьому особлива увага приділялась моніторинговим спостереженням за якістю питної води, атмосферного повітря населених пунктів, води водних об’єктів в місцях водокористування населенням.</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Забезпечення населення питною водою гарантованої якості відноситься до загальнодержавної проблеми. За даними обласного лабораторного центра в </w:t>
      </w:r>
      <w:r w:rsidRPr="0052117F">
        <w:rPr>
          <w:rFonts w:ascii="Times New Roman" w:hAnsi="Times New Roman" w:cs="Times New Roman"/>
          <w:sz w:val="28"/>
        </w:rPr>
        <w:lastRenderedPageBreak/>
        <w:t>цілому в області централізованим господарсько-питним водопостачанням охоплено порядку 64,5% ( 453809 осіб) населення області.</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За результатами моніторингових спостережень встановлено, що забруднення поверхневих водойм в межах населених пунктів та в місцях масового відпочинку населення залишається стабільно високим. Суттєве погіршення якості води за мікробіологічними та хімічними показниками має місце в літній період та осінню межень.</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Для виконання вимог Закону України «Про забезпечення санітарного та епідемічного благополуччя населення» та інших законодавчих актів виконкомам місцевих рад, органам місцевого самоврядування, суб’єктам господарської діяльності, в межах своїх повноважень необхідно:</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прийняти заходи щодо забезпечення населення питною водою гарантованої якості;</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 забезпечити безумовне дотримання умов скидання і нормативів </w:t>
      </w:r>
      <w:r w:rsidR="005B1829" w:rsidRPr="0052117F">
        <w:rPr>
          <w:rFonts w:ascii="Times New Roman" w:hAnsi="Times New Roman" w:cs="Times New Roman"/>
          <w:sz w:val="28"/>
        </w:rPr>
        <w:t>граничнодопустимого</w:t>
      </w:r>
      <w:r w:rsidRPr="0052117F">
        <w:rPr>
          <w:rFonts w:ascii="Times New Roman" w:hAnsi="Times New Roman" w:cs="Times New Roman"/>
          <w:sz w:val="28"/>
        </w:rPr>
        <w:t xml:space="preserve"> скидання (ГДС) забруднюючих речовин і відомчого лабораторного контролю за складом і властивостями зворотних (стічних) вод і їх впливом на поверхневі водні об’єкти відповідно до вимог санітарного та природоохоронного законодавств.</w:t>
      </w:r>
    </w:p>
    <w:p w:rsidR="00514409" w:rsidRPr="0052117F" w:rsidRDefault="00514409" w:rsidP="00514409">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Таким чином, можна зробити висновок, що рівень захворюваності населення області хворобами, які можуть мати відношення до забруднення довкілля, є достатньо високим. Явно виражених тенденцій до зниження рівнів захворюваності по кількості населення не спостерігається та рівень захворюваності хворобами, які мають відношення до забруднення довкілля, в цілому не знижується.</w:t>
      </w:r>
    </w:p>
    <w:p w:rsidR="00514409" w:rsidRPr="0052117F" w:rsidRDefault="00514409" w:rsidP="00612BEB">
      <w:pPr>
        <w:pStyle w:val="a8"/>
        <w:spacing w:after="0" w:line="240" w:lineRule="auto"/>
        <w:ind w:left="0" w:firstLine="567"/>
        <w:jc w:val="both"/>
        <w:rPr>
          <w:rFonts w:ascii="Times New Roman" w:hAnsi="Times New Roman" w:cs="Times New Roman"/>
          <w:sz w:val="28"/>
        </w:rPr>
      </w:pPr>
    </w:p>
    <w:p w:rsidR="00B40DCC" w:rsidRPr="0052117F" w:rsidRDefault="00B40DCC" w:rsidP="00B40DCC">
      <w:pPr>
        <w:pStyle w:val="a8"/>
        <w:numPr>
          <w:ilvl w:val="0"/>
          <w:numId w:val="2"/>
        </w:numPr>
        <w:spacing w:after="0" w:line="240" w:lineRule="auto"/>
        <w:ind w:left="0" w:firstLine="567"/>
        <w:jc w:val="both"/>
        <w:rPr>
          <w:rFonts w:ascii="Times New Roman" w:hAnsi="Times New Roman" w:cs="Times New Roman"/>
          <w:b/>
          <w:sz w:val="28"/>
        </w:rPr>
      </w:pPr>
      <w:r w:rsidRPr="0052117F">
        <w:rPr>
          <w:rFonts w:ascii="Times New Roman" w:hAnsi="Times New Roman" w:cs="Times New Roman"/>
          <w:b/>
          <w:sz w:val="28"/>
        </w:rPr>
        <w:t>Характеристика стану довкілля та умов життєдіяльності і здоров’я людей на територіях, які можуть зазнати впливу</w:t>
      </w:r>
    </w:p>
    <w:p w:rsidR="00B40DCC" w:rsidRPr="0052117F" w:rsidRDefault="00B40DCC" w:rsidP="00B40DCC">
      <w:pPr>
        <w:spacing w:after="0" w:line="240" w:lineRule="auto"/>
        <w:jc w:val="both"/>
        <w:rPr>
          <w:rFonts w:ascii="Times New Roman" w:hAnsi="Times New Roman" w:cs="Times New Roman"/>
          <w:b/>
          <w:sz w:val="28"/>
        </w:rPr>
      </w:pPr>
    </w:p>
    <w:p w:rsidR="00B40DCC" w:rsidRPr="0052117F" w:rsidRDefault="00B40DCC" w:rsidP="00B40DCC">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Програма визначає сукупність взаємоузгоджених завдань і заходів, що спрямовані на забезпечення відновлення надійної роботи системи централізованого водопостачання та водовідведення Луганської області.</w:t>
      </w:r>
    </w:p>
    <w:p w:rsidR="00B40DCC" w:rsidRPr="0052117F" w:rsidRDefault="00B40DCC" w:rsidP="00B40DCC">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Вплив на навколишнє природне середовище, у тому числі на здоров’я населення, при впровадженні заходів може мати тільки позитивні наслідки. Ймовірні наслідки для довкілля від реалізації Програми зведені в таблиці 2.</w:t>
      </w:r>
    </w:p>
    <w:p w:rsidR="00B40DCC" w:rsidRPr="0052117F" w:rsidRDefault="00B40DCC" w:rsidP="00B40DCC">
      <w:pPr>
        <w:spacing w:after="0" w:line="240" w:lineRule="auto"/>
        <w:ind w:firstLine="567"/>
        <w:jc w:val="both"/>
        <w:rPr>
          <w:rFonts w:ascii="Times New Roman" w:hAnsi="Times New Roman" w:cs="Times New Roman"/>
          <w:sz w:val="28"/>
        </w:rPr>
      </w:pPr>
    </w:p>
    <w:p w:rsidR="005C3D3C" w:rsidRPr="0052117F" w:rsidRDefault="005C3D3C" w:rsidP="005C3D3C">
      <w:pPr>
        <w:spacing w:after="0" w:line="240" w:lineRule="auto"/>
        <w:ind w:firstLine="567"/>
        <w:jc w:val="right"/>
        <w:rPr>
          <w:rFonts w:ascii="Times New Roman" w:hAnsi="Times New Roman" w:cs="Times New Roman"/>
          <w:sz w:val="20"/>
        </w:rPr>
      </w:pPr>
      <w:r w:rsidRPr="0052117F">
        <w:rPr>
          <w:rFonts w:ascii="Times New Roman" w:hAnsi="Times New Roman" w:cs="Times New Roman"/>
          <w:sz w:val="20"/>
        </w:rPr>
        <w:t>Таблиця 2</w:t>
      </w:r>
    </w:p>
    <w:tbl>
      <w:tblPr>
        <w:tblStyle w:val="a3"/>
        <w:tblW w:w="0" w:type="auto"/>
        <w:tblLook w:val="04A0" w:firstRow="1" w:lastRow="0" w:firstColumn="1" w:lastColumn="0" w:noHBand="0" w:noVBand="1"/>
      </w:tblPr>
      <w:tblGrid>
        <w:gridCol w:w="5637"/>
        <w:gridCol w:w="850"/>
        <w:gridCol w:w="1134"/>
        <w:gridCol w:w="852"/>
        <w:gridCol w:w="1664"/>
      </w:tblGrid>
      <w:tr w:rsidR="00D86931" w:rsidRPr="0052117F" w:rsidTr="005C3D3C">
        <w:tc>
          <w:tcPr>
            <w:tcW w:w="5637" w:type="dxa"/>
            <w:vMerge w:val="restart"/>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Ймовірні наслідки</w:t>
            </w:r>
          </w:p>
        </w:tc>
        <w:tc>
          <w:tcPr>
            <w:tcW w:w="2836" w:type="dxa"/>
            <w:gridSpan w:val="3"/>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Негативний вплив</w:t>
            </w:r>
          </w:p>
        </w:tc>
        <w:tc>
          <w:tcPr>
            <w:tcW w:w="1664" w:type="dxa"/>
            <w:vMerge w:val="restart"/>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Пом’якшення</w:t>
            </w:r>
          </w:p>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існуючої</w:t>
            </w:r>
          </w:p>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ситуації</w:t>
            </w:r>
          </w:p>
        </w:tc>
      </w:tr>
      <w:tr w:rsidR="00D86931" w:rsidRPr="0052117F" w:rsidTr="005C3D3C">
        <w:tc>
          <w:tcPr>
            <w:tcW w:w="5637" w:type="dxa"/>
            <w:vMerge/>
          </w:tcPr>
          <w:p w:rsidR="00D86931" w:rsidRPr="0052117F" w:rsidRDefault="00D86931" w:rsidP="00B40DCC">
            <w:pPr>
              <w:jc w:val="both"/>
              <w:rPr>
                <w:rFonts w:ascii="Times New Roman" w:hAnsi="Times New Roman" w:cs="Times New Roman"/>
                <w:sz w:val="24"/>
              </w:rPr>
            </w:pPr>
          </w:p>
        </w:tc>
        <w:tc>
          <w:tcPr>
            <w:tcW w:w="850" w:type="dxa"/>
          </w:tcPr>
          <w:p w:rsidR="00D86931" w:rsidRPr="0052117F" w:rsidRDefault="00D86931" w:rsidP="00D86931">
            <w:pPr>
              <w:pStyle w:val="Default"/>
              <w:jc w:val="center"/>
              <w:rPr>
                <w:sz w:val="22"/>
                <w:szCs w:val="22"/>
              </w:rPr>
            </w:pPr>
            <w:r w:rsidRPr="0052117F">
              <w:rPr>
                <w:sz w:val="22"/>
                <w:szCs w:val="22"/>
              </w:rPr>
              <w:t>Так</w:t>
            </w:r>
          </w:p>
        </w:tc>
        <w:tc>
          <w:tcPr>
            <w:tcW w:w="1134" w:type="dxa"/>
          </w:tcPr>
          <w:p w:rsidR="00D86931" w:rsidRPr="0052117F" w:rsidRDefault="00D86931" w:rsidP="00D86931">
            <w:pPr>
              <w:pStyle w:val="Default"/>
              <w:jc w:val="center"/>
              <w:rPr>
                <w:sz w:val="22"/>
                <w:szCs w:val="22"/>
              </w:rPr>
            </w:pPr>
            <w:r w:rsidRPr="0052117F">
              <w:rPr>
                <w:sz w:val="22"/>
                <w:szCs w:val="22"/>
              </w:rPr>
              <w:t>Ймовірно</w:t>
            </w:r>
          </w:p>
        </w:tc>
        <w:tc>
          <w:tcPr>
            <w:tcW w:w="852" w:type="dxa"/>
          </w:tcPr>
          <w:p w:rsidR="00D86931" w:rsidRPr="0052117F" w:rsidRDefault="00D86931" w:rsidP="00D86931">
            <w:pPr>
              <w:pStyle w:val="Default"/>
              <w:jc w:val="center"/>
              <w:rPr>
                <w:sz w:val="22"/>
                <w:szCs w:val="22"/>
              </w:rPr>
            </w:pPr>
            <w:r w:rsidRPr="0052117F">
              <w:rPr>
                <w:sz w:val="22"/>
                <w:szCs w:val="22"/>
              </w:rPr>
              <w:t>ні</w:t>
            </w:r>
          </w:p>
        </w:tc>
        <w:tc>
          <w:tcPr>
            <w:tcW w:w="1664" w:type="dxa"/>
            <w:vMerge/>
          </w:tcPr>
          <w:p w:rsidR="00D86931" w:rsidRPr="0052117F" w:rsidRDefault="00D86931" w:rsidP="00B40DCC">
            <w:pPr>
              <w:jc w:val="both"/>
              <w:rPr>
                <w:rFonts w:ascii="Times New Roman" w:hAnsi="Times New Roman" w:cs="Times New Roman"/>
                <w:sz w:val="24"/>
              </w:rPr>
            </w:pPr>
          </w:p>
        </w:tc>
      </w:tr>
      <w:tr w:rsidR="00D86931" w:rsidRPr="0052117F" w:rsidTr="008B16F0">
        <w:tc>
          <w:tcPr>
            <w:tcW w:w="10137" w:type="dxa"/>
            <w:gridSpan w:val="5"/>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Повітря</w:t>
            </w:r>
          </w:p>
        </w:tc>
      </w:tr>
      <w:tr w:rsidR="00D86931" w:rsidRPr="0052117F" w:rsidTr="005C3D3C">
        <w:tc>
          <w:tcPr>
            <w:tcW w:w="5637" w:type="dxa"/>
          </w:tcPr>
          <w:p w:rsidR="00D86931" w:rsidRPr="0052117F" w:rsidRDefault="00D86931" w:rsidP="00B40DCC">
            <w:pPr>
              <w:jc w:val="both"/>
              <w:rPr>
                <w:rFonts w:ascii="Times New Roman" w:hAnsi="Times New Roman" w:cs="Times New Roman"/>
                <w:sz w:val="24"/>
              </w:rPr>
            </w:pPr>
            <w:r w:rsidRPr="0052117F">
              <w:rPr>
                <w:rFonts w:ascii="Times New Roman" w:hAnsi="Times New Roman" w:cs="Times New Roman"/>
                <w:sz w:val="24"/>
              </w:rPr>
              <w:t>1. Збільшення викидів забруднюючих речовин від стаціонарних джерел</w:t>
            </w:r>
          </w:p>
        </w:tc>
        <w:tc>
          <w:tcPr>
            <w:tcW w:w="850" w:type="dxa"/>
          </w:tcPr>
          <w:p w:rsidR="00D86931" w:rsidRPr="0052117F" w:rsidRDefault="00D86931" w:rsidP="00D86931">
            <w:pPr>
              <w:jc w:val="center"/>
              <w:rPr>
                <w:rFonts w:ascii="Times New Roman" w:hAnsi="Times New Roman" w:cs="Times New Roman"/>
                <w:sz w:val="24"/>
              </w:rPr>
            </w:pPr>
          </w:p>
        </w:tc>
        <w:tc>
          <w:tcPr>
            <w:tcW w:w="1134" w:type="dxa"/>
          </w:tcPr>
          <w:p w:rsidR="00D86931" w:rsidRPr="0052117F" w:rsidRDefault="00D86931" w:rsidP="00D86931">
            <w:pPr>
              <w:jc w:val="center"/>
              <w:rPr>
                <w:rFonts w:ascii="Times New Roman" w:hAnsi="Times New Roman" w:cs="Times New Roman"/>
                <w:sz w:val="24"/>
              </w:rPr>
            </w:pPr>
          </w:p>
        </w:tc>
        <w:tc>
          <w:tcPr>
            <w:tcW w:w="852" w:type="dxa"/>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D86931" w:rsidRPr="0052117F" w:rsidRDefault="00D86931" w:rsidP="00B40DCC">
            <w:pPr>
              <w:jc w:val="both"/>
              <w:rPr>
                <w:rFonts w:ascii="Times New Roman" w:hAnsi="Times New Roman" w:cs="Times New Roman"/>
                <w:sz w:val="24"/>
              </w:rPr>
            </w:pPr>
          </w:p>
        </w:tc>
      </w:tr>
      <w:tr w:rsidR="00D86931" w:rsidRPr="0052117F" w:rsidTr="005C3D3C">
        <w:tc>
          <w:tcPr>
            <w:tcW w:w="5637" w:type="dxa"/>
          </w:tcPr>
          <w:p w:rsidR="00D86931" w:rsidRPr="0052117F" w:rsidRDefault="00D86931" w:rsidP="00B40DCC">
            <w:pPr>
              <w:jc w:val="both"/>
              <w:rPr>
                <w:rFonts w:ascii="Times New Roman" w:hAnsi="Times New Roman" w:cs="Times New Roman"/>
                <w:sz w:val="24"/>
              </w:rPr>
            </w:pPr>
            <w:r w:rsidRPr="0052117F">
              <w:rPr>
                <w:rFonts w:ascii="Times New Roman" w:hAnsi="Times New Roman" w:cs="Times New Roman"/>
                <w:sz w:val="24"/>
              </w:rPr>
              <w:t>2. Погіршення якості атмосферного повітря</w:t>
            </w:r>
          </w:p>
        </w:tc>
        <w:tc>
          <w:tcPr>
            <w:tcW w:w="850" w:type="dxa"/>
          </w:tcPr>
          <w:p w:rsidR="00D86931" w:rsidRPr="0052117F" w:rsidRDefault="00D86931" w:rsidP="00D86931">
            <w:pPr>
              <w:jc w:val="center"/>
              <w:rPr>
                <w:rFonts w:ascii="Times New Roman" w:hAnsi="Times New Roman" w:cs="Times New Roman"/>
                <w:sz w:val="24"/>
              </w:rPr>
            </w:pPr>
          </w:p>
        </w:tc>
        <w:tc>
          <w:tcPr>
            <w:tcW w:w="1134" w:type="dxa"/>
          </w:tcPr>
          <w:p w:rsidR="00D86931" w:rsidRPr="0052117F" w:rsidRDefault="00D86931" w:rsidP="00D86931">
            <w:pPr>
              <w:jc w:val="center"/>
              <w:rPr>
                <w:rFonts w:ascii="Times New Roman" w:hAnsi="Times New Roman" w:cs="Times New Roman"/>
                <w:sz w:val="24"/>
              </w:rPr>
            </w:pPr>
          </w:p>
        </w:tc>
        <w:tc>
          <w:tcPr>
            <w:tcW w:w="852" w:type="dxa"/>
          </w:tcPr>
          <w:p w:rsidR="00D86931" w:rsidRPr="0052117F" w:rsidRDefault="00D86931" w:rsidP="00D86931">
            <w:pPr>
              <w:jc w:val="center"/>
            </w:pPr>
            <w:r w:rsidRPr="0052117F">
              <w:rPr>
                <w:rFonts w:ascii="Times New Roman" w:hAnsi="Times New Roman" w:cs="Times New Roman"/>
                <w:sz w:val="24"/>
              </w:rPr>
              <w:t>●</w:t>
            </w:r>
          </w:p>
        </w:tc>
        <w:tc>
          <w:tcPr>
            <w:tcW w:w="1664" w:type="dxa"/>
          </w:tcPr>
          <w:p w:rsidR="00D86931" w:rsidRPr="0052117F" w:rsidRDefault="00D86931" w:rsidP="00B40DCC">
            <w:pPr>
              <w:jc w:val="both"/>
              <w:rPr>
                <w:rFonts w:ascii="Times New Roman" w:hAnsi="Times New Roman" w:cs="Times New Roman"/>
                <w:sz w:val="24"/>
              </w:rPr>
            </w:pPr>
          </w:p>
        </w:tc>
      </w:tr>
      <w:tr w:rsidR="00D86931" w:rsidRPr="0052117F" w:rsidTr="005C3D3C">
        <w:tc>
          <w:tcPr>
            <w:tcW w:w="5637" w:type="dxa"/>
          </w:tcPr>
          <w:p w:rsidR="00D86931" w:rsidRPr="0052117F" w:rsidRDefault="00D86931" w:rsidP="00B40DCC">
            <w:pPr>
              <w:jc w:val="both"/>
              <w:rPr>
                <w:rFonts w:ascii="Times New Roman" w:hAnsi="Times New Roman" w:cs="Times New Roman"/>
                <w:sz w:val="24"/>
              </w:rPr>
            </w:pPr>
            <w:r w:rsidRPr="0052117F">
              <w:rPr>
                <w:rFonts w:ascii="Times New Roman" w:hAnsi="Times New Roman" w:cs="Times New Roman"/>
                <w:sz w:val="24"/>
              </w:rPr>
              <w:t>3. Зміни повітряних потоків, вологості, температури або ж будь-які локальні чи регіональні зміни клімату</w:t>
            </w:r>
          </w:p>
        </w:tc>
        <w:tc>
          <w:tcPr>
            <w:tcW w:w="850" w:type="dxa"/>
          </w:tcPr>
          <w:p w:rsidR="00D86931" w:rsidRPr="0052117F" w:rsidRDefault="00D86931" w:rsidP="00D86931">
            <w:pPr>
              <w:jc w:val="center"/>
              <w:rPr>
                <w:rFonts w:ascii="Times New Roman" w:hAnsi="Times New Roman" w:cs="Times New Roman"/>
                <w:sz w:val="24"/>
              </w:rPr>
            </w:pPr>
          </w:p>
        </w:tc>
        <w:tc>
          <w:tcPr>
            <w:tcW w:w="1134" w:type="dxa"/>
          </w:tcPr>
          <w:p w:rsidR="00D86931" w:rsidRPr="0052117F" w:rsidRDefault="00D86931" w:rsidP="00D86931">
            <w:pPr>
              <w:jc w:val="center"/>
              <w:rPr>
                <w:rFonts w:ascii="Times New Roman" w:hAnsi="Times New Roman" w:cs="Times New Roman"/>
                <w:sz w:val="24"/>
              </w:rPr>
            </w:pPr>
          </w:p>
        </w:tc>
        <w:tc>
          <w:tcPr>
            <w:tcW w:w="852" w:type="dxa"/>
          </w:tcPr>
          <w:p w:rsidR="00D86931" w:rsidRPr="0052117F" w:rsidRDefault="00D86931" w:rsidP="00D86931">
            <w:pPr>
              <w:jc w:val="center"/>
            </w:pPr>
            <w:r w:rsidRPr="0052117F">
              <w:rPr>
                <w:rFonts w:ascii="Times New Roman" w:hAnsi="Times New Roman" w:cs="Times New Roman"/>
                <w:sz w:val="24"/>
              </w:rPr>
              <w:t>●</w:t>
            </w:r>
          </w:p>
        </w:tc>
        <w:tc>
          <w:tcPr>
            <w:tcW w:w="1664" w:type="dxa"/>
          </w:tcPr>
          <w:p w:rsidR="00D86931" w:rsidRPr="0052117F" w:rsidRDefault="00D86931" w:rsidP="00B40DCC">
            <w:pPr>
              <w:jc w:val="both"/>
              <w:rPr>
                <w:rFonts w:ascii="Times New Roman" w:hAnsi="Times New Roman" w:cs="Times New Roman"/>
                <w:sz w:val="24"/>
              </w:rPr>
            </w:pPr>
          </w:p>
        </w:tc>
      </w:tr>
      <w:tr w:rsidR="00D86931" w:rsidRPr="0052117F" w:rsidTr="008B16F0">
        <w:tc>
          <w:tcPr>
            <w:tcW w:w="10137" w:type="dxa"/>
            <w:gridSpan w:val="5"/>
          </w:tcPr>
          <w:p w:rsidR="00D86931" w:rsidRPr="0052117F" w:rsidRDefault="00D86931" w:rsidP="00D86931">
            <w:pPr>
              <w:jc w:val="center"/>
              <w:rPr>
                <w:rFonts w:ascii="Times New Roman" w:hAnsi="Times New Roman" w:cs="Times New Roman"/>
                <w:sz w:val="24"/>
              </w:rPr>
            </w:pPr>
            <w:r w:rsidRPr="0052117F">
              <w:rPr>
                <w:rFonts w:ascii="Times New Roman" w:hAnsi="Times New Roman" w:cs="Times New Roman"/>
                <w:sz w:val="24"/>
              </w:rPr>
              <w:lastRenderedPageBreak/>
              <w:t>Водні ресурси</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4. Збільшення обсягів скидів у поверхневі води</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w:t>
            </w:r>
          </w:p>
        </w:tc>
      </w:tr>
      <w:tr w:rsidR="005C3D3C" w:rsidRPr="0052117F" w:rsidTr="005C3D3C">
        <w:tc>
          <w:tcPr>
            <w:tcW w:w="5637" w:type="dxa"/>
          </w:tcPr>
          <w:p w:rsidR="005C3D3C" w:rsidRPr="0052117F" w:rsidRDefault="005C3D3C" w:rsidP="005C3D3C">
            <w:pPr>
              <w:jc w:val="both"/>
              <w:rPr>
                <w:rFonts w:ascii="Times New Roman" w:hAnsi="Times New Roman" w:cs="Times New Roman"/>
                <w:sz w:val="24"/>
              </w:rPr>
            </w:pPr>
            <w:r w:rsidRPr="0052117F">
              <w:rPr>
                <w:rFonts w:ascii="Times New Roman" w:hAnsi="Times New Roman" w:cs="Times New Roman"/>
                <w:sz w:val="24"/>
              </w:rPr>
              <w:t>5. Збільшення навантаження на каналізаційні системи та погіршення якості очистки стічних вод</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6. Порушення гідрологічного та гідрохімічного режиму малих річок регіону</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7. Зміни обсягів підземних вод (шляхом відбору чи скидів або ж шляхом порушення водоносних горизонтів)</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8. Забруднення підземних водоносних горизонтів</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Відходи</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9. Збільшення кількості утворюваних твердих побутових відходів</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10. Збільшення кількості утворюваних чи накопичених промислових відходів IV класу небезпеки</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11. Збільшення кількості відходів I-III класу небезпеки</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 xml:space="preserve">12. Спорудження </w:t>
            </w:r>
            <w:proofErr w:type="spellStart"/>
            <w:r w:rsidRPr="0052117F">
              <w:rPr>
                <w:rFonts w:ascii="Times New Roman" w:hAnsi="Times New Roman" w:cs="Times New Roman"/>
                <w:sz w:val="24"/>
              </w:rPr>
              <w:t>еколого-небезпечних</w:t>
            </w:r>
            <w:proofErr w:type="spellEnd"/>
            <w:r w:rsidRPr="0052117F">
              <w:rPr>
                <w:rFonts w:ascii="Times New Roman" w:hAnsi="Times New Roman" w:cs="Times New Roman"/>
                <w:sz w:val="24"/>
              </w:rPr>
              <w:t xml:space="preserve"> об’єктів поводження з відходами</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Земельні ресурси</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13. Порушення, переміщення, ущільнення ґрунтового шару</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14. Будь-яке посилення вітрової або водної ерозії ґрунтів</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15. Суттєві зміни в структурі земельного фонду, чинній або планованій практиці використання земель</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5C3D3C">
            <w:pPr>
              <w:jc w:val="both"/>
              <w:rPr>
                <w:rFonts w:ascii="Times New Roman" w:hAnsi="Times New Roman" w:cs="Times New Roman"/>
                <w:sz w:val="24"/>
              </w:rPr>
            </w:pPr>
            <w:r w:rsidRPr="0052117F">
              <w:rPr>
                <w:rFonts w:ascii="Times New Roman" w:hAnsi="Times New Roman" w:cs="Times New Roman"/>
                <w:sz w:val="24"/>
              </w:rPr>
              <w:t>16. Виникнення конфліктів між ухваленими цілями стратегії та цілями місцевих громад</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pStyle w:val="Default"/>
              <w:jc w:val="center"/>
            </w:pPr>
            <w:proofErr w:type="spellStart"/>
            <w:r w:rsidRPr="0052117F">
              <w:rPr>
                <w:szCs w:val="22"/>
              </w:rPr>
              <w:t>Біорізноманіття</w:t>
            </w:r>
            <w:proofErr w:type="spellEnd"/>
            <w:r w:rsidRPr="0052117F">
              <w:rPr>
                <w:szCs w:val="22"/>
              </w:rPr>
              <w:t xml:space="preserve"> та рекреаційні зони </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17. Негативний вплив на об’єкти природно-заповідного фонду (зменшення площ, небезпечна діяльність на їх території тощо)</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18. Зміни у кількості видів рослин або тварин, їхній чисельності або територіальному представництві</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19. Порушення або деградацію середовищ існування диких видів тварин</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Рекреаційні зони та культурна спадщина</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20. Будь-який вплив на кількість і якість наявних рекреаційних можливостей</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21. Будь-який вплив на наявні об’єкти історико-культурної спадщини</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22. Інші негативні впливи на естетичні показники об’єктів довкілля</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5C3D3C">
            <w:pPr>
              <w:jc w:val="cente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Населення та інфраструктура</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23. Появу будь-яких реальних або потенційних загроз для здоров’я людей</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w:t>
            </w: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Екологічне управління та моніторинг</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24. Погіршення екологічного моніторингу</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5C3D3C"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5C3D3C" w:rsidRPr="0052117F" w:rsidRDefault="005C3D3C" w:rsidP="00B40DCC">
            <w:pPr>
              <w:jc w:val="both"/>
              <w:rPr>
                <w:rFonts w:ascii="Times New Roman" w:hAnsi="Times New Roman" w:cs="Times New Roman"/>
                <w:sz w:val="24"/>
              </w:rPr>
            </w:pPr>
          </w:p>
        </w:tc>
      </w:tr>
      <w:tr w:rsidR="005C3D3C" w:rsidRPr="0052117F" w:rsidTr="008B16F0">
        <w:tc>
          <w:tcPr>
            <w:tcW w:w="10137" w:type="dxa"/>
            <w:gridSpan w:val="5"/>
          </w:tcPr>
          <w:p w:rsidR="005C3D3C" w:rsidRPr="0052117F" w:rsidRDefault="005C3D3C" w:rsidP="005C3D3C">
            <w:pPr>
              <w:jc w:val="center"/>
              <w:rPr>
                <w:rFonts w:ascii="Times New Roman" w:hAnsi="Times New Roman" w:cs="Times New Roman"/>
                <w:sz w:val="24"/>
              </w:rPr>
            </w:pPr>
            <w:r w:rsidRPr="0052117F">
              <w:rPr>
                <w:rFonts w:ascii="Times New Roman" w:hAnsi="Times New Roman" w:cs="Times New Roman"/>
                <w:sz w:val="24"/>
              </w:rPr>
              <w:t>Інше</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lastRenderedPageBreak/>
              <w:t>25. Підвищення рівня використання будь-якого виду природних ресурсів</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E06150"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5C3D3C" w:rsidRPr="0052117F" w:rsidRDefault="00E06150" w:rsidP="00E06150">
            <w:pPr>
              <w:jc w:val="center"/>
              <w:rPr>
                <w:rFonts w:ascii="Times New Roman" w:hAnsi="Times New Roman" w:cs="Times New Roman"/>
                <w:sz w:val="24"/>
              </w:rPr>
            </w:pPr>
            <w:r w:rsidRPr="0052117F">
              <w:rPr>
                <w:rFonts w:ascii="Times New Roman" w:hAnsi="Times New Roman" w:cs="Times New Roman"/>
                <w:sz w:val="24"/>
              </w:rPr>
              <w:t>+</w:t>
            </w:r>
          </w:p>
        </w:tc>
      </w:tr>
      <w:tr w:rsidR="005C3D3C" w:rsidRPr="0052117F" w:rsidTr="005C3D3C">
        <w:tc>
          <w:tcPr>
            <w:tcW w:w="5637" w:type="dxa"/>
          </w:tcPr>
          <w:p w:rsidR="005C3D3C" w:rsidRPr="0052117F" w:rsidRDefault="005C3D3C" w:rsidP="00B40DCC">
            <w:pPr>
              <w:jc w:val="both"/>
              <w:rPr>
                <w:rFonts w:ascii="Times New Roman" w:hAnsi="Times New Roman" w:cs="Times New Roman"/>
                <w:sz w:val="24"/>
              </w:rPr>
            </w:pPr>
            <w:r w:rsidRPr="0052117F">
              <w:rPr>
                <w:rFonts w:ascii="Times New Roman" w:hAnsi="Times New Roman" w:cs="Times New Roman"/>
                <w:sz w:val="24"/>
              </w:rPr>
              <w:t>26. Суттєве порушення якості природного середовища</w:t>
            </w:r>
          </w:p>
        </w:tc>
        <w:tc>
          <w:tcPr>
            <w:tcW w:w="850" w:type="dxa"/>
          </w:tcPr>
          <w:p w:rsidR="005C3D3C" w:rsidRPr="0052117F" w:rsidRDefault="005C3D3C" w:rsidP="00D86931">
            <w:pPr>
              <w:jc w:val="center"/>
              <w:rPr>
                <w:rFonts w:ascii="Times New Roman" w:hAnsi="Times New Roman" w:cs="Times New Roman"/>
                <w:sz w:val="24"/>
              </w:rPr>
            </w:pPr>
          </w:p>
        </w:tc>
        <w:tc>
          <w:tcPr>
            <w:tcW w:w="1134" w:type="dxa"/>
          </w:tcPr>
          <w:p w:rsidR="005C3D3C" w:rsidRPr="0052117F" w:rsidRDefault="005C3D3C" w:rsidP="00D86931">
            <w:pPr>
              <w:jc w:val="center"/>
              <w:rPr>
                <w:rFonts w:ascii="Times New Roman" w:hAnsi="Times New Roman" w:cs="Times New Roman"/>
                <w:sz w:val="24"/>
              </w:rPr>
            </w:pPr>
          </w:p>
        </w:tc>
        <w:tc>
          <w:tcPr>
            <w:tcW w:w="852" w:type="dxa"/>
          </w:tcPr>
          <w:p w:rsidR="005C3D3C" w:rsidRPr="0052117F" w:rsidRDefault="00E06150" w:rsidP="00D86931">
            <w:pPr>
              <w:jc w:val="center"/>
              <w:rPr>
                <w:rFonts w:ascii="Times New Roman" w:hAnsi="Times New Roman" w:cs="Times New Roman"/>
                <w:sz w:val="24"/>
              </w:rPr>
            </w:pPr>
            <w:r w:rsidRPr="0052117F">
              <w:rPr>
                <w:rFonts w:ascii="Times New Roman" w:hAnsi="Times New Roman" w:cs="Times New Roman"/>
                <w:sz w:val="24"/>
              </w:rPr>
              <w:t>●</w:t>
            </w:r>
          </w:p>
        </w:tc>
        <w:tc>
          <w:tcPr>
            <w:tcW w:w="1664" w:type="dxa"/>
          </w:tcPr>
          <w:p w:rsidR="005C3D3C" w:rsidRPr="0052117F" w:rsidRDefault="00E06150" w:rsidP="00E06150">
            <w:pPr>
              <w:jc w:val="center"/>
              <w:rPr>
                <w:rFonts w:ascii="Times New Roman" w:hAnsi="Times New Roman" w:cs="Times New Roman"/>
                <w:sz w:val="24"/>
              </w:rPr>
            </w:pPr>
            <w:r w:rsidRPr="0052117F">
              <w:rPr>
                <w:rFonts w:ascii="Times New Roman" w:hAnsi="Times New Roman" w:cs="Times New Roman"/>
                <w:sz w:val="24"/>
              </w:rPr>
              <w:t>+</w:t>
            </w:r>
          </w:p>
        </w:tc>
      </w:tr>
    </w:tbl>
    <w:p w:rsidR="00B40DCC" w:rsidRPr="0052117F" w:rsidRDefault="00B40DCC" w:rsidP="00B40DCC">
      <w:pPr>
        <w:spacing w:after="0" w:line="240" w:lineRule="auto"/>
        <w:ind w:firstLine="567"/>
        <w:jc w:val="both"/>
        <w:rPr>
          <w:rFonts w:ascii="Times New Roman" w:hAnsi="Times New Roman" w:cs="Times New Roman"/>
          <w:sz w:val="28"/>
        </w:rPr>
      </w:pP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На основі оцінок таблиці 2, можливо зробити такі висновки щодо ймовірних наслідків для довкілля від реалізації Програми:</w:t>
      </w: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атмосферне повітря – наслідки відсутні;</w:t>
      </w: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водні ресурси – позитивний вплив, а саме: відновлення надійної роботи системи централізованого водопостачання та водовідведення Луганської області</w:t>
      </w:r>
      <w:r w:rsidR="005B1829">
        <w:rPr>
          <w:rFonts w:ascii="Times New Roman" w:hAnsi="Times New Roman" w:cs="Times New Roman"/>
          <w:sz w:val="28"/>
        </w:rPr>
        <w:t>,</w:t>
      </w:r>
      <w:r w:rsidRPr="0052117F">
        <w:rPr>
          <w:rFonts w:ascii="Times New Roman" w:hAnsi="Times New Roman" w:cs="Times New Roman"/>
          <w:sz w:val="28"/>
        </w:rPr>
        <w:t xml:space="preserve"> зниження забруднення водних об'єктів області неочищеними стічними водами;</w:t>
      </w: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відходи – наслідки відсутні;</w:t>
      </w: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земельні ресурси – наслідки відсутні;</w:t>
      </w:r>
    </w:p>
    <w:p w:rsidR="00E06150" w:rsidRPr="0052117F" w:rsidRDefault="00E06150" w:rsidP="00E06150">
      <w:pPr>
        <w:pStyle w:val="a8"/>
        <w:spacing w:after="0" w:line="240" w:lineRule="auto"/>
        <w:ind w:left="0" w:firstLine="567"/>
        <w:jc w:val="both"/>
        <w:rPr>
          <w:rFonts w:ascii="Times New Roman" w:hAnsi="Times New Roman" w:cs="Times New Roman"/>
          <w:sz w:val="28"/>
        </w:rPr>
      </w:pPr>
      <w:proofErr w:type="spellStart"/>
      <w:r w:rsidRPr="0052117F">
        <w:rPr>
          <w:rFonts w:ascii="Times New Roman" w:hAnsi="Times New Roman" w:cs="Times New Roman"/>
          <w:sz w:val="28"/>
        </w:rPr>
        <w:t>біорізноманіття</w:t>
      </w:r>
      <w:proofErr w:type="spellEnd"/>
      <w:r w:rsidRPr="0052117F">
        <w:rPr>
          <w:rFonts w:ascii="Times New Roman" w:hAnsi="Times New Roman" w:cs="Times New Roman"/>
          <w:sz w:val="28"/>
        </w:rPr>
        <w:t xml:space="preserve"> – наслідки відсутні;</w:t>
      </w:r>
    </w:p>
    <w:p w:rsidR="00E06150"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населення та інфраструктура – наслідки позитивні: поліпшення санітарно-епідеміологічної та санітарно-епізоотичної ситуації на території області; негативний вплив на стан здоров’я чи захворюваність населення не очікується;</w:t>
      </w:r>
    </w:p>
    <w:p w:rsidR="00E306A6" w:rsidRPr="0052117F" w:rsidRDefault="00E06150" w:rsidP="00E06150">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При впровадженні заходів Програми, у порівнянні із існуючим станом, очікується позитивний вплив на стан водних ресурсів, у тому числі на здоров’я населення.</w:t>
      </w:r>
    </w:p>
    <w:p w:rsidR="00B40DCC" w:rsidRPr="0052117F" w:rsidRDefault="00B40DCC" w:rsidP="004E3A53">
      <w:pPr>
        <w:pStyle w:val="a8"/>
        <w:spacing w:after="0" w:line="240" w:lineRule="auto"/>
        <w:ind w:left="0" w:firstLine="567"/>
        <w:jc w:val="both"/>
        <w:rPr>
          <w:rFonts w:ascii="Times New Roman" w:hAnsi="Times New Roman" w:cs="Times New Roman"/>
          <w:sz w:val="28"/>
        </w:rPr>
      </w:pPr>
    </w:p>
    <w:p w:rsidR="00711614" w:rsidRPr="0052117F" w:rsidRDefault="00B24932" w:rsidP="00B40DCC">
      <w:pPr>
        <w:pStyle w:val="a8"/>
        <w:numPr>
          <w:ilvl w:val="0"/>
          <w:numId w:val="10"/>
        </w:numPr>
        <w:spacing w:after="0" w:line="240" w:lineRule="auto"/>
        <w:ind w:left="0" w:firstLine="567"/>
        <w:rPr>
          <w:rFonts w:ascii="Times New Roman" w:hAnsi="Times New Roman" w:cs="Times New Roman"/>
          <w:b/>
          <w:sz w:val="28"/>
        </w:rPr>
      </w:pPr>
      <w:r w:rsidRPr="0052117F">
        <w:rPr>
          <w:rFonts w:ascii="Times New Roman" w:hAnsi="Times New Roman" w:cs="Times New Roman"/>
          <w:b/>
          <w:sz w:val="28"/>
        </w:rPr>
        <w:t>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w:t>
      </w:r>
    </w:p>
    <w:p w:rsidR="00B24932" w:rsidRPr="0052117F" w:rsidRDefault="00B24932" w:rsidP="00B24932">
      <w:pPr>
        <w:pStyle w:val="a8"/>
        <w:spacing w:after="0" w:line="240" w:lineRule="auto"/>
        <w:ind w:left="927"/>
        <w:rPr>
          <w:rFonts w:ascii="Times New Roman" w:hAnsi="Times New Roman" w:cs="Times New Roman"/>
          <w:b/>
          <w:sz w:val="28"/>
        </w:rPr>
      </w:pPr>
    </w:p>
    <w:p w:rsidR="00B24932" w:rsidRPr="0052117F" w:rsidRDefault="00B24932" w:rsidP="00B24932">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Основні екологічні проблеми Луганської області, що стосуються документа державного планування, наведені в таблиці </w:t>
      </w:r>
      <w:r w:rsidR="00B40DCC" w:rsidRPr="0052117F">
        <w:rPr>
          <w:rFonts w:ascii="Times New Roman" w:hAnsi="Times New Roman" w:cs="Times New Roman"/>
          <w:sz w:val="28"/>
        </w:rPr>
        <w:t>3</w:t>
      </w:r>
      <w:r w:rsidRPr="0052117F">
        <w:rPr>
          <w:rFonts w:ascii="Times New Roman" w:hAnsi="Times New Roman" w:cs="Times New Roman"/>
          <w:sz w:val="28"/>
        </w:rPr>
        <w:t>.</w:t>
      </w:r>
    </w:p>
    <w:p w:rsidR="00711614" w:rsidRPr="0052117F" w:rsidRDefault="00B24932" w:rsidP="00695B06">
      <w:pPr>
        <w:pStyle w:val="a8"/>
        <w:spacing w:after="0" w:line="240" w:lineRule="auto"/>
        <w:ind w:left="0" w:firstLine="567"/>
        <w:jc w:val="center"/>
        <w:rPr>
          <w:rFonts w:ascii="Times New Roman" w:hAnsi="Times New Roman" w:cs="Times New Roman"/>
          <w:sz w:val="28"/>
        </w:rPr>
      </w:pPr>
      <w:r w:rsidRPr="0052117F">
        <w:rPr>
          <w:rFonts w:ascii="Times New Roman" w:hAnsi="Times New Roman" w:cs="Times New Roman"/>
          <w:sz w:val="28"/>
        </w:rPr>
        <w:t xml:space="preserve"> </w:t>
      </w:r>
    </w:p>
    <w:p w:rsidR="00B24932" w:rsidRPr="0052117F" w:rsidRDefault="00B24932" w:rsidP="00B24932">
      <w:pPr>
        <w:pStyle w:val="a8"/>
        <w:spacing w:after="0" w:line="240" w:lineRule="auto"/>
        <w:ind w:left="0" w:firstLine="567"/>
        <w:jc w:val="right"/>
        <w:rPr>
          <w:rFonts w:ascii="Times New Roman" w:hAnsi="Times New Roman" w:cs="Times New Roman"/>
          <w:sz w:val="20"/>
        </w:rPr>
      </w:pPr>
      <w:r w:rsidRPr="0052117F">
        <w:rPr>
          <w:rFonts w:ascii="Times New Roman" w:hAnsi="Times New Roman" w:cs="Times New Roman"/>
          <w:sz w:val="20"/>
        </w:rPr>
        <w:t xml:space="preserve">Таблиця </w:t>
      </w:r>
      <w:r w:rsidR="00B40DCC" w:rsidRPr="0052117F">
        <w:rPr>
          <w:rFonts w:ascii="Times New Roman" w:hAnsi="Times New Roman" w:cs="Times New Roman"/>
          <w:sz w:val="20"/>
        </w:rPr>
        <w:t>3</w:t>
      </w:r>
    </w:p>
    <w:tbl>
      <w:tblPr>
        <w:tblW w:w="9933" w:type="dxa"/>
        <w:tblLayout w:type="fixed"/>
        <w:tblCellMar>
          <w:left w:w="10" w:type="dxa"/>
          <w:right w:w="10" w:type="dxa"/>
        </w:tblCellMar>
        <w:tblLook w:val="0000" w:firstRow="0" w:lastRow="0" w:firstColumn="0" w:lastColumn="0" w:noHBand="0" w:noVBand="0"/>
      </w:tblPr>
      <w:tblGrid>
        <w:gridCol w:w="1397"/>
        <w:gridCol w:w="8536"/>
      </w:tblGrid>
      <w:tr w:rsidR="00B24932" w:rsidRPr="0052117F" w:rsidTr="00154A9E">
        <w:trPr>
          <w:trHeight w:hRule="exact" w:val="293"/>
        </w:trPr>
        <w:tc>
          <w:tcPr>
            <w:tcW w:w="1397" w:type="dxa"/>
            <w:tcBorders>
              <w:top w:val="single" w:sz="4" w:space="0" w:color="auto"/>
              <w:left w:val="single" w:sz="4" w:space="0" w:color="auto"/>
            </w:tcBorders>
            <w:shd w:val="clear" w:color="auto" w:fill="FFFFFF"/>
            <w:vAlign w:val="bottom"/>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b/>
                <w:bCs/>
                <w:color w:val="000000"/>
                <w:shd w:val="clear" w:color="auto" w:fill="FFFFFF"/>
                <w:lang w:eastAsia="uk-UA" w:bidi="uk-UA"/>
              </w:rPr>
              <w:t>№ з/п</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b/>
                <w:bCs/>
                <w:color w:val="000000"/>
                <w:shd w:val="clear" w:color="auto" w:fill="FFFFFF"/>
                <w:lang w:eastAsia="uk-UA" w:bidi="uk-UA"/>
              </w:rPr>
              <w:t>Екологічні проблеми</w:t>
            </w:r>
          </w:p>
        </w:tc>
      </w:tr>
      <w:tr w:rsidR="00B24932" w:rsidRPr="0052117F" w:rsidTr="00154A9E">
        <w:trPr>
          <w:trHeight w:hRule="exact" w:val="562"/>
        </w:trPr>
        <w:tc>
          <w:tcPr>
            <w:tcW w:w="1397" w:type="dxa"/>
            <w:tcBorders>
              <w:top w:val="single" w:sz="4" w:space="0" w:color="auto"/>
              <w:left w:val="single" w:sz="4" w:space="0" w:color="auto"/>
            </w:tcBorders>
            <w:shd w:val="clear" w:color="auto" w:fill="FFFFFF"/>
            <w:vAlign w:val="center"/>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1</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74"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Екологічні наслідки діяльності промислових підприємств (зокрема, забруднення водних ресурсів);</w:t>
            </w:r>
          </w:p>
        </w:tc>
      </w:tr>
      <w:tr w:rsidR="00B24932" w:rsidRPr="0052117F" w:rsidTr="00154A9E">
        <w:trPr>
          <w:trHeight w:hRule="exact" w:val="283"/>
        </w:trPr>
        <w:tc>
          <w:tcPr>
            <w:tcW w:w="1397" w:type="dxa"/>
            <w:tcBorders>
              <w:top w:val="single" w:sz="4" w:space="0" w:color="auto"/>
              <w:left w:val="single" w:sz="4" w:space="0" w:color="auto"/>
            </w:tcBorders>
            <w:shd w:val="clear" w:color="auto" w:fill="FFFFFF"/>
            <w:vAlign w:val="bottom"/>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2</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20"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Негативний вплив бойових дій на об’єкти інфраструктури</w:t>
            </w:r>
          </w:p>
        </w:tc>
      </w:tr>
      <w:tr w:rsidR="00B24932" w:rsidRPr="0052117F" w:rsidTr="00154A9E">
        <w:trPr>
          <w:trHeight w:hRule="exact" w:val="288"/>
        </w:trPr>
        <w:tc>
          <w:tcPr>
            <w:tcW w:w="1397" w:type="dxa"/>
            <w:tcBorders>
              <w:top w:val="single" w:sz="4" w:space="0" w:color="auto"/>
              <w:left w:val="single" w:sz="4" w:space="0" w:color="auto"/>
            </w:tcBorders>
            <w:shd w:val="clear" w:color="auto" w:fill="FFFFFF"/>
            <w:vAlign w:val="bottom"/>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3</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20"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Надмірне використання природних ресурсів</w:t>
            </w:r>
          </w:p>
        </w:tc>
      </w:tr>
      <w:tr w:rsidR="00B24932" w:rsidRPr="0052117F" w:rsidTr="00154A9E">
        <w:trPr>
          <w:trHeight w:hRule="exact" w:val="562"/>
        </w:trPr>
        <w:tc>
          <w:tcPr>
            <w:tcW w:w="1397" w:type="dxa"/>
            <w:tcBorders>
              <w:top w:val="single" w:sz="4" w:space="0" w:color="auto"/>
              <w:left w:val="single" w:sz="4" w:space="0" w:color="auto"/>
            </w:tcBorders>
            <w:shd w:val="clear" w:color="auto" w:fill="FFFFFF"/>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4</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78"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Низький рівень екологічної обізнаності, недостатня активність та самоорганізація суспільства з питань охорони довкілля</w:t>
            </w:r>
          </w:p>
        </w:tc>
      </w:tr>
      <w:tr w:rsidR="00B24932" w:rsidRPr="0052117F" w:rsidTr="00154A9E">
        <w:trPr>
          <w:trHeight w:hRule="exact" w:val="562"/>
        </w:trPr>
        <w:tc>
          <w:tcPr>
            <w:tcW w:w="1397" w:type="dxa"/>
            <w:tcBorders>
              <w:top w:val="single" w:sz="4" w:space="0" w:color="auto"/>
              <w:left w:val="single" w:sz="4" w:space="0" w:color="auto"/>
            </w:tcBorders>
            <w:shd w:val="clear" w:color="auto" w:fill="FFFFFF"/>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5</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78"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Недостатнє використання сучасних технологій для зменшення впливів на довкілля на підприємствах водопостачання</w:t>
            </w:r>
          </w:p>
        </w:tc>
      </w:tr>
      <w:tr w:rsidR="00B24932" w:rsidRPr="0052117F" w:rsidTr="00154A9E">
        <w:trPr>
          <w:trHeight w:hRule="exact" w:val="562"/>
        </w:trPr>
        <w:tc>
          <w:tcPr>
            <w:tcW w:w="1397" w:type="dxa"/>
            <w:tcBorders>
              <w:top w:val="single" w:sz="4" w:space="0" w:color="auto"/>
              <w:left w:val="single" w:sz="4" w:space="0" w:color="auto"/>
            </w:tcBorders>
            <w:shd w:val="clear" w:color="auto" w:fill="FFFFFF"/>
            <w:vAlign w:val="center"/>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6</w:t>
            </w:r>
          </w:p>
        </w:tc>
        <w:tc>
          <w:tcPr>
            <w:tcW w:w="8536" w:type="dxa"/>
            <w:tcBorders>
              <w:top w:val="single" w:sz="4" w:space="0" w:color="auto"/>
              <w:left w:val="single" w:sz="4" w:space="0" w:color="auto"/>
              <w:right w:val="single" w:sz="4" w:space="0" w:color="auto"/>
            </w:tcBorders>
            <w:shd w:val="clear" w:color="auto" w:fill="FFFFFF"/>
            <w:vAlign w:val="bottom"/>
          </w:tcPr>
          <w:p w:rsidR="00B24932" w:rsidRPr="0052117F" w:rsidRDefault="00B24932" w:rsidP="00B24932">
            <w:pPr>
              <w:widowControl w:val="0"/>
              <w:spacing w:after="0" w:line="278"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Неконтрольований вплив негативних екологічних тенденцій, що відбуваються на тимчасово окупованих територіях</w:t>
            </w:r>
          </w:p>
        </w:tc>
      </w:tr>
      <w:tr w:rsidR="00B24932" w:rsidRPr="0052117F" w:rsidTr="00154A9E">
        <w:trPr>
          <w:trHeight w:hRule="exact" w:val="571"/>
        </w:trPr>
        <w:tc>
          <w:tcPr>
            <w:tcW w:w="1397" w:type="dxa"/>
            <w:tcBorders>
              <w:top w:val="single" w:sz="4" w:space="0" w:color="auto"/>
              <w:left w:val="single" w:sz="4" w:space="0" w:color="auto"/>
              <w:bottom w:val="single" w:sz="4" w:space="0" w:color="auto"/>
            </w:tcBorders>
            <w:shd w:val="clear" w:color="auto" w:fill="FFFFFF"/>
          </w:tcPr>
          <w:p w:rsidR="00B24932" w:rsidRPr="0052117F" w:rsidRDefault="00B24932" w:rsidP="00B24932">
            <w:pPr>
              <w:widowControl w:val="0"/>
              <w:spacing w:after="0" w:line="220" w:lineRule="exact"/>
              <w:jc w:val="center"/>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7</w:t>
            </w:r>
          </w:p>
        </w:tc>
        <w:tc>
          <w:tcPr>
            <w:tcW w:w="8536" w:type="dxa"/>
            <w:tcBorders>
              <w:top w:val="single" w:sz="4" w:space="0" w:color="auto"/>
              <w:left w:val="single" w:sz="4" w:space="0" w:color="auto"/>
              <w:bottom w:val="single" w:sz="4" w:space="0" w:color="auto"/>
              <w:right w:val="single" w:sz="4" w:space="0" w:color="auto"/>
            </w:tcBorders>
            <w:shd w:val="clear" w:color="auto" w:fill="FFFFFF"/>
            <w:vAlign w:val="bottom"/>
          </w:tcPr>
          <w:p w:rsidR="00B24932" w:rsidRPr="0052117F" w:rsidRDefault="00B24932" w:rsidP="00B24932">
            <w:pPr>
              <w:widowControl w:val="0"/>
              <w:spacing w:after="0" w:line="278" w:lineRule="exact"/>
              <w:jc w:val="both"/>
              <w:rPr>
                <w:rFonts w:ascii="Times New Roman" w:eastAsia="Times New Roman" w:hAnsi="Times New Roman" w:cs="Times New Roman"/>
                <w:sz w:val="28"/>
                <w:szCs w:val="28"/>
                <w:lang w:eastAsia="uk-UA" w:bidi="uk-UA"/>
              </w:rPr>
            </w:pPr>
            <w:r w:rsidRPr="0052117F">
              <w:rPr>
                <w:rFonts w:ascii="Times New Roman" w:eastAsia="Times New Roman" w:hAnsi="Times New Roman" w:cs="Times New Roman"/>
                <w:color w:val="000000"/>
                <w:shd w:val="clear" w:color="auto" w:fill="FFFFFF"/>
                <w:lang w:eastAsia="uk-UA" w:bidi="uk-UA"/>
              </w:rPr>
              <w:t>Відсутність економічних механізмів стимулювання розвитку екологічно безпечних технологій та природоохоронних систем</w:t>
            </w:r>
          </w:p>
        </w:tc>
      </w:tr>
    </w:tbl>
    <w:p w:rsidR="00711614" w:rsidRPr="0052117F" w:rsidRDefault="00711614" w:rsidP="00695B06">
      <w:pPr>
        <w:pStyle w:val="a8"/>
        <w:spacing w:after="0" w:line="240" w:lineRule="auto"/>
        <w:ind w:left="0" w:firstLine="567"/>
        <w:jc w:val="center"/>
        <w:rPr>
          <w:rFonts w:ascii="Times New Roman" w:hAnsi="Times New Roman" w:cs="Times New Roman"/>
          <w:sz w:val="28"/>
        </w:rPr>
      </w:pPr>
    </w:p>
    <w:p w:rsidR="00711614" w:rsidRPr="0052117F" w:rsidRDefault="0064622D" w:rsidP="0064622D">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SWOT-аналіз є дієвим інструментом для прийняття стратегічних, </w:t>
      </w:r>
      <w:proofErr w:type="spellStart"/>
      <w:r w:rsidRPr="0052117F">
        <w:rPr>
          <w:rFonts w:ascii="Times New Roman" w:hAnsi="Times New Roman" w:cs="Times New Roman"/>
          <w:sz w:val="28"/>
        </w:rPr>
        <w:t>коротко-</w:t>
      </w:r>
      <w:proofErr w:type="spellEnd"/>
      <w:r w:rsidRPr="0052117F">
        <w:rPr>
          <w:rFonts w:ascii="Times New Roman" w:hAnsi="Times New Roman" w:cs="Times New Roman"/>
          <w:sz w:val="28"/>
        </w:rPr>
        <w:t xml:space="preserve"> та довгострокових управлінських рішень щодо подальшого удосконалення ДДП з урахуванням регіональних особливостей. Виявлені при проведенні SWOT-аналізу слабкості, можливості і загрози можуть бути використані при прийнятті </w:t>
      </w:r>
      <w:r w:rsidRPr="0052117F">
        <w:rPr>
          <w:rFonts w:ascii="Times New Roman" w:hAnsi="Times New Roman" w:cs="Times New Roman"/>
          <w:sz w:val="28"/>
        </w:rPr>
        <w:lastRenderedPageBreak/>
        <w:t xml:space="preserve">стратегічних, </w:t>
      </w:r>
      <w:proofErr w:type="spellStart"/>
      <w:r w:rsidRPr="0052117F">
        <w:rPr>
          <w:rFonts w:ascii="Times New Roman" w:hAnsi="Times New Roman" w:cs="Times New Roman"/>
          <w:sz w:val="28"/>
        </w:rPr>
        <w:t>коротко-</w:t>
      </w:r>
      <w:proofErr w:type="spellEnd"/>
      <w:r w:rsidRPr="0052117F">
        <w:rPr>
          <w:rFonts w:ascii="Times New Roman" w:hAnsi="Times New Roman" w:cs="Times New Roman"/>
          <w:sz w:val="28"/>
        </w:rPr>
        <w:t xml:space="preserve"> та довгострокових управлінських рішень. Результати SWOT - аналізу, проблем пов'язаних з проектом документа державного планування у </w:t>
      </w:r>
      <w:r w:rsidR="00154A9E" w:rsidRPr="0052117F">
        <w:rPr>
          <w:rFonts w:ascii="Times New Roman" w:hAnsi="Times New Roman" w:cs="Times New Roman"/>
          <w:sz w:val="28"/>
        </w:rPr>
        <w:t>Луганс</w:t>
      </w:r>
      <w:r w:rsidRPr="0052117F">
        <w:rPr>
          <w:rFonts w:ascii="Times New Roman" w:hAnsi="Times New Roman" w:cs="Times New Roman"/>
          <w:sz w:val="28"/>
        </w:rPr>
        <w:t xml:space="preserve">ькій області наведено в таблиці </w:t>
      </w:r>
      <w:r w:rsidR="00B40DCC" w:rsidRPr="0052117F">
        <w:rPr>
          <w:rFonts w:ascii="Times New Roman" w:hAnsi="Times New Roman" w:cs="Times New Roman"/>
          <w:sz w:val="28"/>
        </w:rPr>
        <w:t>4</w:t>
      </w:r>
      <w:r w:rsidRPr="0052117F">
        <w:rPr>
          <w:rFonts w:ascii="Times New Roman" w:hAnsi="Times New Roman" w:cs="Times New Roman"/>
          <w:sz w:val="28"/>
        </w:rPr>
        <w:t>.</w:t>
      </w:r>
    </w:p>
    <w:p w:rsidR="0064622D" w:rsidRPr="0052117F" w:rsidRDefault="0064622D" w:rsidP="0064622D">
      <w:pPr>
        <w:pStyle w:val="a8"/>
        <w:spacing w:after="0" w:line="240" w:lineRule="auto"/>
        <w:ind w:left="0" w:firstLine="567"/>
        <w:jc w:val="both"/>
        <w:rPr>
          <w:rFonts w:ascii="Times New Roman" w:hAnsi="Times New Roman" w:cs="Times New Roman"/>
          <w:sz w:val="28"/>
        </w:rPr>
      </w:pPr>
    </w:p>
    <w:p w:rsidR="0064622D" w:rsidRPr="0052117F" w:rsidRDefault="001A0A4E" w:rsidP="001A0A4E">
      <w:pPr>
        <w:pStyle w:val="a8"/>
        <w:spacing w:after="0" w:line="240" w:lineRule="auto"/>
        <w:ind w:left="0" w:firstLine="567"/>
        <w:jc w:val="right"/>
        <w:rPr>
          <w:rFonts w:ascii="Times New Roman" w:hAnsi="Times New Roman" w:cs="Times New Roman"/>
          <w:sz w:val="20"/>
        </w:rPr>
      </w:pPr>
      <w:r w:rsidRPr="0052117F">
        <w:rPr>
          <w:rFonts w:ascii="Times New Roman" w:hAnsi="Times New Roman" w:cs="Times New Roman"/>
          <w:sz w:val="20"/>
        </w:rPr>
        <w:t xml:space="preserve">Таблиця </w:t>
      </w:r>
      <w:r w:rsidR="00B40DCC" w:rsidRPr="0052117F">
        <w:rPr>
          <w:rFonts w:ascii="Times New Roman" w:hAnsi="Times New Roman" w:cs="Times New Roman"/>
          <w:sz w:val="20"/>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214"/>
      </w:tblGrid>
      <w:tr w:rsidR="0064622D" w:rsidRPr="0052117F" w:rsidTr="001305B3">
        <w:tc>
          <w:tcPr>
            <w:tcW w:w="2428" w:type="pct"/>
          </w:tcPr>
          <w:p w:rsidR="0064622D" w:rsidRPr="0052117F" w:rsidRDefault="0064622D" w:rsidP="0064622D">
            <w:pPr>
              <w:pBdr>
                <w:bottom w:val="single" w:sz="4" w:space="1" w:color="auto"/>
              </w:pBdr>
              <w:spacing w:after="0" w:line="240" w:lineRule="auto"/>
              <w:jc w:val="center"/>
              <w:rPr>
                <w:rFonts w:ascii="Times New Roman" w:eastAsia="Calibri" w:hAnsi="Times New Roman" w:cs="Times New Roman"/>
                <w:b/>
                <w:sz w:val="24"/>
                <w:szCs w:val="24"/>
              </w:rPr>
            </w:pPr>
            <w:r w:rsidRPr="0052117F">
              <w:rPr>
                <w:rFonts w:ascii="Times New Roman" w:eastAsia="Calibri" w:hAnsi="Times New Roman" w:cs="Times New Roman"/>
                <w:b/>
                <w:sz w:val="24"/>
                <w:szCs w:val="24"/>
              </w:rPr>
              <w:t>СИЛЬНІ СТОРОНИ (</w:t>
            </w:r>
            <w:r w:rsidRPr="0052117F">
              <w:rPr>
                <w:rFonts w:ascii="Times New Roman" w:eastAsia="Calibri" w:hAnsi="Times New Roman" w:cs="Times New Roman"/>
                <w:b/>
                <w:i/>
                <w:sz w:val="24"/>
                <w:szCs w:val="24"/>
                <w:u w:val="single"/>
              </w:rPr>
              <w:t>S</w:t>
            </w:r>
            <w:r w:rsidRPr="0052117F">
              <w:rPr>
                <w:rFonts w:ascii="Times New Roman" w:eastAsia="Calibri" w:hAnsi="Times New Roman" w:cs="Times New Roman"/>
                <w:b/>
                <w:sz w:val="24"/>
                <w:szCs w:val="24"/>
              </w:rPr>
              <w:t>)</w:t>
            </w:r>
          </w:p>
          <w:p w:rsidR="0064622D" w:rsidRPr="0052117F" w:rsidRDefault="0064622D" w:rsidP="0064622D">
            <w:pPr>
              <w:numPr>
                <w:ilvl w:val="0"/>
                <w:numId w:val="5"/>
              </w:numPr>
              <w:tabs>
                <w:tab w:val="left" w:pos="300"/>
              </w:tabs>
              <w:spacing w:after="0" w:line="240" w:lineRule="auto"/>
              <w:rPr>
                <w:rFonts w:ascii="Times New Roman" w:eastAsia="Calibri" w:hAnsi="Times New Roman" w:cs="Times New Roman"/>
                <w:sz w:val="24"/>
                <w:szCs w:val="24"/>
              </w:rPr>
            </w:pPr>
            <w:r w:rsidRPr="0052117F">
              <w:rPr>
                <w:rFonts w:ascii="Times New Roman" w:eastAsia="Calibri" w:hAnsi="Times New Roman" w:cs="Times New Roman"/>
                <w:sz w:val="24"/>
                <w:szCs w:val="24"/>
              </w:rPr>
              <w:t>наявність експлуатаційних підприємств з розвиненою виробничою базою;</w:t>
            </w:r>
          </w:p>
          <w:p w:rsidR="0064622D" w:rsidRPr="0052117F" w:rsidRDefault="0064622D" w:rsidP="0064622D">
            <w:pPr>
              <w:numPr>
                <w:ilvl w:val="0"/>
                <w:numId w:val="5"/>
              </w:numPr>
              <w:tabs>
                <w:tab w:val="left" w:pos="300"/>
              </w:tabs>
              <w:spacing w:after="0" w:line="240" w:lineRule="auto"/>
              <w:rPr>
                <w:rFonts w:ascii="Times New Roman" w:eastAsia="Calibri" w:hAnsi="Times New Roman" w:cs="Times New Roman"/>
                <w:sz w:val="24"/>
                <w:szCs w:val="24"/>
              </w:rPr>
            </w:pPr>
            <w:r w:rsidRPr="0052117F">
              <w:rPr>
                <w:rFonts w:ascii="Times New Roman" w:eastAsia="Calibri" w:hAnsi="Times New Roman" w:cs="Times New Roman"/>
                <w:sz w:val="24"/>
                <w:szCs w:val="24"/>
              </w:rPr>
              <w:t>наявність запасів питної води, достатніх для забезпечення всього регіону (хоча вода розподілена нерівномірно по території), а також створення резервних джерел водопостачання;</w:t>
            </w:r>
          </w:p>
          <w:p w:rsidR="0064622D" w:rsidRPr="0052117F" w:rsidRDefault="0064622D" w:rsidP="0064622D">
            <w:pPr>
              <w:numPr>
                <w:ilvl w:val="0"/>
                <w:numId w:val="5"/>
              </w:numPr>
              <w:tabs>
                <w:tab w:val="left" w:pos="300"/>
              </w:tabs>
              <w:spacing w:after="0" w:line="240" w:lineRule="auto"/>
              <w:rPr>
                <w:rFonts w:ascii="Times New Roman" w:eastAsia="Calibri" w:hAnsi="Times New Roman" w:cs="Times New Roman"/>
                <w:sz w:val="24"/>
                <w:szCs w:val="24"/>
              </w:rPr>
            </w:pPr>
            <w:r w:rsidRPr="0052117F">
              <w:rPr>
                <w:rFonts w:ascii="Times New Roman" w:eastAsia="Calibri" w:hAnsi="Times New Roman" w:cs="Times New Roman"/>
                <w:sz w:val="24"/>
                <w:szCs w:val="24"/>
              </w:rPr>
              <w:t>скорочення собівартості послуг питного водопостачання та водовідведення;</w:t>
            </w:r>
          </w:p>
          <w:p w:rsidR="0064622D" w:rsidRPr="0052117F" w:rsidRDefault="0064622D" w:rsidP="0064622D">
            <w:pPr>
              <w:numPr>
                <w:ilvl w:val="0"/>
                <w:numId w:val="5"/>
              </w:numPr>
              <w:tabs>
                <w:tab w:val="left" w:pos="300"/>
              </w:tabs>
              <w:spacing w:after="0" w:line="240" w:lineRule="auto"/>
              <w:contextualSpacing/>
              <w:rPr>
                <w:rFonts w:ascii="Times New Roman" w:eastAsia="Calibri" w:hAnsi="Times New Roman" w:cs="Times New Roman"/>
                <w:sz w:val="24"/>
                <w:szCs w:val="24"/>
              </w:rPr>
            </w:pPr>
            <w:r w:rsidRPr="0052117F">
              <w:rPr>
                <w:rFonts w:ascii="Times New Roman" w:eastAsia="Calibri" w:hAnsi="Times New Roman" w:cs="Times New Roman"/>
                <w:sz w:val="24"/>
                <w:szCs w:val="24"/>
              </w:rPr>
              <w:t>перспектива централізованого управління системами шляхом створення єдиної компанії з водопостачання та водовідведення;</w:t>
            </w:r>
          </w:p>
          <w:p w:rsidR="0064622D" w:rsidRPr="0052117F" w:rsidRDefault="0064622D" w:rsidP="0064622D">
            <w:pPr>
              <w:numPr>
                <w:ilvl w:val="0"/>
                <w:numId w:val="5"/>
              </w:numPr>
              <w:tabs>
                <w:tab w:val="left" w:pos="300"/>
              </w:tabs>
              <w:spacing w:after="0" w:line="240" w:lineRule="auto"/>
              <w:contextualSpacing/>
              <w:rPr>
                <w:rFonts w:ascii="Times New Roman" w:eastAsia="Calibri" w:hAnsi="Times New Roman" w:cs="Times New Roman"/>
                <w:sz w:val="24"/>
                <w:szCs w:val="24"/>
              </w:rPr>
            </w:pPr>
            <w:r w:rsidRPr="0052117F">
              <w:rPr>
                <w:rFonts w:ascii="Times New Roman" w:eastAsia="Calibri" w:hAnsi="Times New Roman" w:cs="Times New Roman"/>
                <w:sz w:val="24"/>
                <w:szCs w:val="24"/>
              </w:rPr>
              <w:t>присутність міжнародних та гуманітарних місій у регіоні;</w:t>
            </w:r>
          </w:p>
          <w:p w:rsidR="0064622D" w:rsidRPr="0052117F" w:rsidRDefault="0064622D" w:rsidP="0064622D">
            <w:pPr>
              <w:numPr>
                <w:ilvl w:val="0"/>
                <w:numId w:val="5"/>
              </w:numPr>
              <w:tabs>
                <w:tab w:val="left" w:pos="300"/>
              </w:tabs>
              <w:spacing w:after="0" w:line="240" w:lineRule="auto"/>
              <w:contextualSpacing/>
              <w:rPr>
                <w:rFonts w:ascii="Times New Roman" w:eastAsia="Calibri" w:hAnsi="Times New Roman" w:cs="Times New Roman"/>
                <w:sz w:val="24"/>
                <w:szCs w:val="24"/>
              </w:rPr>
            </w:pPr>
            <w:r w:rsidRPr="0052117F">
              <w:rPr>
                <w:rFonts w:ascii="Times New Roman" w:eastAsia="Calibri" w:hAnsi="Times New Roman" w:cs="Times New Roman"/>
                <w:sz w:val="24"/>
                <w:szCs w:val="24"/>
              </w:rPr>
              <w:t>можливість у стислі строки за незначних капіталовкладень досягти різкого скорочення витрат енергії</w:t>
            </w:r>
          </w:p>
        </w:tc>
        <w:tc>
          <w:tcPr>
            <w:tcW w:w="2572" w:type="pct"/>
          </w:tcPr>
          <w:p w:rsidR="0064622D" w:rsidRPr="0052117F" w:rsidRDefault="0064622D" w:rsidP="0064622D">
            <w:pPr>
              <w:pBdr>
                <w:bottom w:val="single" w:sz="4" w:space="1" w:color="auto"/>
              </w:pBdr>
              <w:spacing w:after="0" w:line="240" w:lineRule="auto"/>
              <w:jc w:val="center"/>
              <w:rPr>
                <w:rFonts w:ascii="Times New Roman" w:eastAsia="Calibri" w:hAnsi="Times New Roman" w:cs="Times New Roman"/>
                <w:b/>
                <w:sz w:val="24"/>
                <w:szCs w:val="24"/>
              </w:rPr>
            </w:pPr>
            <w:r w:rsidRPr="0052117F">
              <w:rPr>
                <w:rFonts w:ascii="Times New Roman" w:eastAsia="Calibri" w:hAnsi="Times New Roman" w:cs="Times New Roman"/>
                <w:b/>
                <w:sz w:val="24"/>
                <w:szCs w:val="24"/>
              </w:rPr>
              <w:t>СЛАБКІ СТОРОНИ (</w:t>
            </w:r>
            <w:r w:rsidRPr="0052117F">
              <w:rPr>
                <w:rFonts w:ascii="Times New Roman" w:eastAsia="Calibri" w:hAnsi="Times New Roman" w:cs="Times New Roman"/>
                <w:b/>
                <w:i/>
                <w:sz w:val="24"/>
                <w:szCs w:val="24"/>
                <w:u w:val="single"/>
              </w:rPr>
              <w:t>W</w:t>
            </w:r>
            <w:r w:rsidRPr="0052117F">
              <w:rPr>
                <w:rFonts w:ascii="Times New Roman" w:eastAsia="Calibri" w:hAnsi="Times New Roman" w:cs="Times New Roman"/>
                <w:b/>
                <w:sz w:val="24"/>
                <w:szCs w:val="24"/>
              </w:rPr>
              <w:t>)</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морально та фізично застарілі системи водопостачання та водовідведення;</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нерівномірне розподілення водних ресурсів на території регіону, що викликає необхідність транспортування води на значні відстані;</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 xml:space="preserve">значна </w:t>
            </w:r>
            <w:proofErr w:type="spellStart"/>
            <w:r w:rsidRPr="0052117F">
              <w:rPr>
                <w:rFonts w:ascii="Times New Roman" w:eastAsia="Calibri" w:hAnsi="Times New Roman" w:cs="Times New Roman"/>
                <w:sz w:val="24"/>
                <w:szCs w:val="24"/>
              </w:rPr>
              <w:t>недовантаженість</w:t>
            </w:r>
            <w:proofErr w:type="spellEnd"/>
            <w:r w:rsidRPr="0052117F">
              <w:rPr>
                <w:rFonts w:ascii="Times New Roman" w:eastAsia="Calibri" w:hAnsi="Times New Roman" w:cs="Times New Roman"/>
                <w:sz w:val="24"/>
                <w:szCs w:val="24"/>
              </w:rPr>
              <w:t xml:space="preserve"> систем;</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недостатній рівень охоплення населення послугами з централізованого водопостачання та водовідведення;</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недостатній рівень оснащення засобами обліку наданих послуг;</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високий рівень втрат питної води в умовах низької ефективності використання матеріальних та енергетичних ресурсів;</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висока собівартість послуг;</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невідповідність якості води в джерелах водопостачання нормативним вимогам та складність її очистки;</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невідповідність якості очищених стічних вод гранично допустимому скиду речовин у водні об’єкти;</w:t>
            </w:r>
          </w:p>
          <w:p w:rsidR="0064622D" w:rsidRPr="0052117F" w:rsidRDefault="0064622D" w:rsidP="0064622D">
            <w:pPr>
              <w:numPr>
                <w:ilvl w:val="0"/>
                <w:numId w:val="6"/>
              </w:numPr>
              <w:tabs>
                <w:tab w:val="left" w:pos="39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відсутність детальної інформації щодо гідравлічних режимів роботи систем</w:t>
            </w:r>
          </w:p>
        </w:tc>
      </w:tr>
      <w:tr w:rsidR="0064622D" w:rsidRPr="0052117F" w:rsidTr="001305B3">
        <w:tc>
          <w:tcPr>
            <w:tcW w:w="2428" w:type="pct"/>
          </w:tcPr>
          <w:p w:rsidR="0064622D" w:rsidRPr="0052117F" w:rsidRDefault="0064622D" w:rsidP="0064622D">
            <w:pPr>
              <w:pBdr>
                <w:bottom w:val="single" w:sz="4" w:space="1" w:color="auto"/>
              </w:pBdr>
              <w:spacing w:after="0" w:line="240" w:lineRule="auto"/>
              <w:jc w:val="center"/>
              <w:rPr>
                <w:rFonts w:ascii="Times New Roman" w:eastAsia="Calibri" w:hAnsi="Times New Roman" w:cs="Times New Roman"/>
                <w:b/>
                <w:sz w:val="24"/>
                <w:szCs w:val="24"/>
              </w:rPr>
            </w:pPr>
            <w:r w:rsidRPr="0052117F">
              <w:rPr>
                <w:rFonts w:ascii="Times New Roman" w:eastAsia="Calibri" w:hAnsi="Times New Roman" w:cs="Times New Roman"/>
                <w:b/>
                <w:sz w:val="24"/>
                <w:szCs w:val="24"/>
              </w:rPr>
              <w:t>МОЖЛИВОСТІ (</w:t>
            </w:r>
            <w:r w:rsidRPr="0052117F">
              <w:rPr>
                <w:rFonts w:ascii="Times New Roman" w:eastAsia="Calibri" w:hAnsi="Times New Roman" w:cs="Times New Roman"/>
                <w:b/>
                <w:i/>
                <w:sz w:val="24"/>
                <w:szCs w:val="24"/>
                <w:u w:val="single"/>
              </w:rPr>
              <w:t>О</w:t>
            </w:r>
            <w:r w:rsidRPr="0052117F">
              <w:rPr>
                <w:rFonts w:ascii="Times New Roman" w:eastAsia="Calibri" w:hAnsi="Times New Roman" w:cs="Times New Roman"/>
                <w:b/>
                <w:sz w:val="24"/>
                <w:szCs w:val="24"/>
              </w:rPr>
              <w:t>)</w:t>
            </w:r>
          </w:p>
          <w:p w:rsidR="0064622D" w:rsidRPr="0052117F" w:rsidRDefault="0064622D" w:rsidP="0064622D">
            <w:pPr>
              <w:numPr>
                <w:ilvl w:val="0"/>
                <w:numId w:val="7"/>
              </w:numPr>
              <w:tabs>
                <w:tab w:val="left" w:pos="0"/>
                <w:tab w:val="left" w:pos="42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інвестиційна привабливість сфери водопостачання та водовідведення регіону;</w:t>
            </w:r>
          </w:p>
          <w:p w:rsidR="0064622D" w:rsidRPr="0052117F" w:rsidRDefault="0064622D" w:rsidP="0064622D">
            <w:pPr>
              <w:numPr>
                <w:ilvl w:val="0"/>
                <w:numId w:val="7"/>
              </w:numPr>
              <w:tabs>
                <w:tab w:val="left" w:pos="0"/>
                <w:tab w:val="left" w:pos="42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скорочення собівартості послуг у разі включення в тариф інвестиційної складової;</w:t>
            </w:r>
          </w:p>
          <w:p w:rsidR="0064622D" w:rsidRPr="0052117F" w:rsidRDefault="0064622D" w:rsidP="0064622D">
            <w:pPr>
              <w:numPr>
                <w:ilvl w:val="0"/>
                <w:numId w:val="7"/>
              </w:numPr>
              <w:tabs>
                <w:tab w:val="left" w:pos="0"/>
                <w:tab w:val="left" w:pos="42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співпраця з проектами міжнародної гуманітарної допомоги;</w:t>
            </w:r>
          </w:p>
          <w:p w:rsidR="0064622D" w:rsidRPr="0052117F" w:rsidRDefault="0064622D" w:rsidP="0064622D">
            <w:pPr>
              <w:numPr>
                <w:ilvl w:val="0"/>
                <w:numId w:val="7"/>
              </w:numPr>
              <w:tabs>
                <w:tab w:val="left" w:pos="0"/>
                <w:tab w:val="left" w:pos="426"/>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підключення нових абонентів до централізованої системи водопостачання</w:t>
            </w:r>
          </w:p>
        </w:tc>
        <w:tc>
          <w:tcPr>
            <w:tcW w:w="2572" w:type="pct"/>
          </w:tcPr>
          <w:p w:rsidR="0064622D" w:rsidRPr="0052117F" w:rsidRDefault="0064622D" w:rsidP="0064622D">
            <w:pPr>
              <w:pBdr>
                <w:bottom w:val="single" w:sz="4" w:space="1" w:color="auto"/>
              </w:pBdr>
              <w:spacing w:after="0" w:line="240" w:lineRule="auto"/>
              <w:jc w:val="center"/>
              <w:rPr>
                <w:rFonts w:ascii="Times New Roman" w:eastAsia="Calibri" w:hAnsi="Times New Roman" w:cs="Times New Roman"/>
                <w:sz w:val="24"/>
                <w:szCs w:val="24"/>
              </w:rPr>
            </w:pPr>
            <w:r w:rsidRPr="0052117F">
              <w:rPr>
                <w:rFonts w:ascii="Times New Roman" w:eastAsia="Calibri" w:hAnsi="Times New Roman" w:cs="Times New Roman"/>
                <w:b/>
                <w:sz w:val="24"/>
                <w:szCs w:val="24"/>
              </w:rPr>
              <w:t>ЗАГРОЗИ</w:t>
            </w:r>
            <w:r w:rsidRPr="0052117F">
              <w:rPr>
                <w:rFonts w:ascii="Times New Roman" w:eastAsia="Calibri" w:hAnsi="Times New Roman" w:cs="Times New Roman"/>
                <w:sz w:val="24"/>
                <w:szCs w:val="24"/>
              </w:rPr>
              <w:t xml:space="preserve"> (</w:t>
            </w:r>
            <w:r w:rsidRPr="0052117F">
              <w:rPr>
                <w:rFonts w:ascii="Times New Roman" w:eastAsia="Calibri" w:hAnsi="Times New Roman" w:cs="Times New Roman"/>
                <w:b/>
                <w:i/>
                <w:sz w:val="24"/>
                <w:szCs w:val="24"/>
                <w:u w:val="single"/>
              </w:rPr>
              <w:t>Т</w:t>
            </w:r>
            <w:r w:rsidRPr="0052117F">
              <w:rPr>
                <w:rFonts w:ascii="Times New Roman" w:eastAsia="Calibri" w:hAnsi="Times New Roman" w:cs="Times New Roman"/>
                <w:sz w:val="24"/>
                <w:szCs w:val="24"/>
              </w:rPr>
              <w:t>)</w:t>
            </w:r>
          </w:p>
          <w:p w:rsidR="0064622D" w:rsidRPr="0052117F" w:rsidRDefault="0064622D" w:rsidP="0064622D">
            <w:pPr>
              <w:numPr>
                <w:ilvl w:val="0"/>
                <w:numId w:val="8"/>
              </w:numPr>
              <w:tabs>
                <w:tab w:val="left" w:pos="354"/>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активізація бойових дій на території області, висока ймовірність пошкодження окремих об’єктів систем водопостачання та водовідведення;</w:t>
            </w:r>
          </w:p>
          <w:p w:rsidR="0064622D" w:rsidRPr="0052117F" w:rsidRDefault="0064622D" w:rsidP="0064622D">
            <w:pPr>
              <w:numPr>
                <w:ilvl w:val="0"/>
                <w:numId w:val="8"/>
              </w:numPr>
              <w:tabs>
                <w:tab w:val="left" w:pos="354"/>
              </w:tabs>
              <w:spacing w:after="0" w:line="240" w:lineRule="auto"/>
              <w:ind w:left="0" w:firstLine="0"/>
              <w:contextualSpacing/>
              <w:rPr>
                <w:rFonts w:ascii="Times New Roman" w:eastAsia="Calibri" w:hAnsi="Times New Roman" w:cs="Times New Roman"/>
                <w:sz w:val="24"/>
                <w:szCs w:val="24"/>
              </w:rPr>
            </w:pPr>
            <w:r w:rsidRPr="0052117F">
              <w:rPr>
                <w:rFonts w:ascii="Times New Roman" w:eastAsia="Calibri" w:hAnsi="Times New Roman" w:cs="Times New Roman"/>
                <w:sz w:val="24"/>
                <w:szCs w:val="24"/>
              </w:rPr>
              <w:t>неможливість прогнозування перспективних обсягів водоспоживання через невизначеність напрямку розвитку систем;</w:t>
            </w:r>
          </w:p>
          <w:p w:rsidR="0064622D" w:rsidRPr="0052117F" w:rsidRDefault="0064622D" w:rsidP="0064622D">
            <w:pPr>
              <w:numPr>
                <w:ilvl w:val="0"/>
                <w:numId w:val="8"/>
              </w:numPr>
              <w:tabs>
                <w:tab w:val="left" w:pos="354"/>
              </w:tabs>
              <w:spacing w:after="0" w:line="240" w:lineRule="auto"/>
              <w:ind w:left="0" w:firstLine="0"/>
              <w:rPr>
                <w:rFonts w:ascii="Times New Roman" w:eastAsia="Calibri" w:hAnsi="Times New Roman" w:cs="Times New Roman"/>
                <w:sz w:val="24"/>
                <w:szCs w:val="24"/>
              </w:rPr>
            </w:pPr>
            <w:r w:rsidRPr="0052117F">
              <w:rPr>
                <w:rFonts w:ascii="Times New Roman" w:eastAsia="Calibri" w:hAnsi="Times New Roman" w:cs="Times New Roman"/>
                <w:sz w:val="24"/>
                <w:szCs w:val="24"/>
              </w:rPr>
              <w:t xml:space="preserve">невідповідність якості питної води за окремими показниками </w:t>
            </w:r>
            <w:proofErr w:type="spellStart"/>
            <w:r w:rsidRPr="0052117F">
              <w:rPr>
                <w:rFonts w:ascii="Times New Roman" w:eastAsia="Calibri" w:hAnsi="Times New Roman" w:cs="Times New Roman"/>
                <w:sz w:val="24"/>
                <w:szCs w:val="24"/>
              </w:rPr>
              <w:t>ДСанПіН</w:t>
            </w:r>
            <w:proofErr w:type="spellEnd"/>
            <w:r w:rsidRPr="0052117F">
              <w:rPr>
                <w:rFonts w:ascii="Times New Roman" w:eastAsia="Calibri" w:hAnsi="Times New Roman" w:cs="Times New Roman"/>
                <w:sz w:val="24"/>
                <w:szCs w:val="24"/>
              </w:rPr>
              <w:t xml:space="preserve"> 2.2.4-171-10</w:t>
            </w:r>
          </w:p>
          <w:p w:rsidR="0064622D" w:rsidRPr="0052117F" w:rsidRDefault="0064622D" w:rsidP="0064622D">
            <w:pPr>
              <w:tabs>
                <w:tab w:val="left" w:pos="354"/>
              </w:tabs>
              <w:spacing w:after="0" w:line="240" w:lineRule="auto"/>
              <w:rPr>
                <w:rFonts w:ascii="Times New Roman" w:eastAsia="Calibri" w:hAnsi="Times New Roman" w:cs="Times New Roman"/>
                <w:sz w:val="24"/>
                <w:szCs w:val="24"/>
              </w:rPr>
            </w:pPr>
          </w:p>
        </w:tc>
      </w:tr>
    </w:tbl>
    <w:p w:rsidR="0064622D" w:rsidRPr="0052117F" w:rsidRDefault="0064622D" w:rsidP="0064622D">
      <w:pPr>
        <w:pStyle w:val="a8"/>
        <w:spacing w:after="0" w:line="240" w:lineRule="auto"/>
        <w:ind w:left="0" w:firstLine="567"/>
        <w:jc w:val="both"/>
        <w:rPr>
          <w:rFonts w:ascii="Times New Roman" w:hAnsi="Times New Roman" w:cs="Times New Roman"/>
          <w:sz w:val="28"/>
        </w:rPr>
      </w:pPr>
    </w:p>
    <w:p w:rsidR="00711614" w:rsidRPr="0052117F" w:rsidRDefault="00154A9E" w:rsidP="00154A9E">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При гіпотетичному «нульовому» сценарії, якщо документ державного планування не буде затверджений, подальший стабільний розвиток системи водопостачання та водовідведення Луганської області є проблематичним. Це може призвести і до погіршення стану водних ресурсів і як наслідок може відобразитися на умовах життя та здоров’ї населення регіону.</w:t>
      </w:r>
    </w:p>
    <w:p w:rsidR="00154A9E" w:rsidRDefault="00154A9E" w:rsidP="00154A9E">
      <w:pPr>
        <w:pStyle w:val="a8"/>
        <w:spacing w:after="0" w:line="240" w:lineRule="auto"/>
        <w:ind w:left="0" w:firstLine="567"/>
        <w:jc w:val="both"/>
        <w:rPr>
          <w:rFonts w:ascii="Times New Roman" w:hAnsi="Times New Roman" w:cs="Times New Roman"/>
          <w:sz w:val="28"/>
        </w:rPr>
      </w:pPr>
    </w:p>
    <w:p w:rsidR="005B1829" w:rsidRPr="0052117F" w:rsidRDefault="005B1829" w:rsidP="00154A9E">
      <w:pPr>
        <w:pStyle w:val="a8"/>
        <w:spacing w:after="0" w:line="240" w:lineRule="auto"/>
        <w:ind w:left="0" w:firstLine="567"/>
        <w:jc w:val="both"/>
        <w:rPr>
          <w:rFonts w:ascii="Times New Roman" w:hAnsi="Times New Roman" w:cs="Times New Roman"/>
          <w:sz w:val="28"/>
        </w:rPr>
      </w:pPr>
    </w:p>
    <w:p w:rsidR="00154A9E" w:rsidRPr="0052117F" w:rsidRDefault="00154A9E" w:rsidP="00DC2632">
      <w:pPr>
        <w:pStyle w:val="a8"/>
        <w:numPr>
          <w:ilvl w:val="0"/>
          <w:numId w:val="10"/>
        </w:numPr>
        <w:spacing w:after="0" w:line="240" w:lineRule="auto"/>
        <w:ind w:left="0" w:firstLine="567"/>
        <w:jc w:val="both"/>
        <w:rPr>
          <w:rFonts w:ascii="Times New Roman" w:hAnsi="Times New Roman" w:cs="Times New Roman"/>
          <w:b/>
          <w:sz w:val="28"/>
        </w:rPr>
      </w:pPr>
      <w:r w:rsidRPr="0052117F">
        <w:rPr>
          <w:rFonts w:ascii="Times New Roman" w:hAnsi="Times New Roman" w:cs="Times New Roman"/>
          <w:b/>
          <w:sz w:val="28"/>
        </w:rPr>
        <w:lastRenderedPageBreak/>
        <w:t>Зобов’язання у сфері охорони довкілля, у тому числі пов’язані із запобіганням негативного впливу на здоров’я населення, встановлені на міжнародному, державному та інших рівнях, що стосуються Програми, а також шляхи врахування таких зобов’язань під час підготовки документа державного планування.</w:t>
      </w:r>
    </w:p>
    <w:p w:rsidR="00154A9E" w:rsidRPr="0052117F" w:rsidRDefault="00154A9E" w:rsidP="00154A9E">
      <w:pPr>
        <w:spacing w:after="0" w:line="240" w:lineRule="auto"/>
        <w:ind w:firstLine="567"/>
        <w:jc w:val="both"/>
        <w:rPr>
          <w:rFonts w:ascii="Times New Roman" w:hAnsi="Times New Roman" w:cs="Times New Roman"/>
          <w:sz w:val="28"/>
        </w:rPr>
      </w:pP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 метою охорони і оздоровлення навколишнього природного середовища та забезпечення збалансованого екологічного розвитку території Луганської області у Програмі запропонований ряд заходів, які повинні реалізовуватися відповідно до Закону України «Про охорону навколишнього природного середовища» і кореспондуватися із стратегічними цілями з охорони довкілля та охорони здоров’я населення, визначеними у Законі України «Про Основні засади (стратегію) державної екологічної політики України на період до 2030 року» від 28 лютого 2019 року.</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 xml:space="preserve">Відповідно до нормативно-правової бази України </w:t>
      </w:r>
      <w:proofErr w:type="spellStart"/>
      <w:r w:rsidRPr="0052117F">
        <w:rPr>
          <w:rFonts w:ascii="Times New Roman" w:hAnsi="Times New Roman" w:cs="Times New Roman"/>
          <w:sz w:val="28"/>
        </w:rPr>
        <w:t>про</w:t>
      </w:r>
      <w:r w:rsidR="002F3269" w:rsidRPr="0052117F">
        <w:rPr>
          <w:rFonts w:ascii="Times New Roman" w:hAnsi="Times New Roman" w:cs="Times New Roman"/>
          <w:sz w:val="28"/>
        </w:rPr>
        <w:t>є</w:t>
      </w:r>
      <w:r w:rsidRPr="0052117F">
        <w:rPr>
          <w:rFonts w:ascii="Times New Roman" w:hAnsi="Times New Roman" w:cs="Times New Roman"/>
          <w:sz w:val="28"/>
        </w:rPr>
        <w:t>кт</w:t>
      </w:r>
      <w:proofErr w:type="spellEnd"/>
      <w:r w:rsidRPr="0052117F">
        <w:rPr>
          <w:rFonts w:ascii="Times New Roman" w:hAnsi="Times New Roman" w:cs="Times New Roman"/>
          <w:sz w:val="28"/>
        </w:rPr>
        <w:t xml:space="preserve"> Програми відповідає ряду зобов’язань:</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w:t>
      </w:r>
      <w:r w:rsidRPr="0052117F">
        <w:rPr>
          <w:rFonts w:ascii="Times New Roman" w:hAnsi="Times New Roman" w:cs="Times New Roman"/>
          <w:sz w:val="28"/>
        </w:rPr>
        <w:tab/>
        <w:t>пріоритетність вимог екологічної безпеки, обов’язковість додержання екологічних стандартів, нормативів та лімітів використання природних ресурсів;</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w:t>
      </w:r>
      <w:r w:rsidRPr="0052117F">
        <w:rPr>
          <w:rFonts w:ascii="Times New Roman" w:hAnsi="Times New Roman" w:cs="Times New Roman"/>
          <w:sz w:val="28"/>
        </w:rPr>
        <w:tab/>
        <w:t>виконання заходів, що гарантують екологічну безпеку середовища для життя і здоров’я людей, а також запобіжний характер заходів щодо охорони довкілля;</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w:t>
      </w:r>
      <w:r w:rsidRPr="0052117F">
        <w:rPr>
          <w:rFonts w:ascii="Times New Roman" w:hAnsi="Times New Roman" w:cs="Times New Roman"/>
          <w:sz w:val="28"/>
        </w:rPr>
        <w:tab/>
        <w:t>проектне спрямування на збереження просторової та видової різноманітності і цілісності природних об’єктів і комплексів;</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w:t>
      </w:r>
      <w:r w:rsidRPr="0052117F">
        <w:rPr>
          <w:rFonts w:ascii="Times New Roman" w:hAnsi="Times New Roman" w:cs="Times New Roman"/>
          <w:sz w:val="28"/>
        </w:rPr>
        <w:tab/>
        <w:t>використання отриманих висновків моніторингу та комплексу охоронних заходів для виконання можливостей факторів позитивного впливу на охорону довкілля;</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w:t>
      </w:r>
      <w:r w:rsidRPr="0052117F">
        <w:rPr>
          <w:rFonts w:ascii="Times New Roman" w:hAnsi="Times New Roman" w:cs="Times New Roman"/>
          <w:sz w:val="28"/>
        </w:rPr>
        <w:tab/>
        <w:t>формування динамічного урівноваженого стану довкілля, що забезпечуватиме екологічне, санітарно-безпечне середовище для життєдіяльності населення.</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Забезпечення загальної доступності Програми та самого звіту СЕО відповідно до вимог Законів України «Про доступ публічної інформації» і «Про стратегічну екологічну оцінку» шляхом здійснення публікації у друкованих засобах масової інформації та розміщення на офіційному веб-сайті Департаменту житлово-комунального господарства Луганської обласної державної адміністрації.</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 xml:space="preserve">Враховуючи результати аналізу можна зробити висновок, що </w:t>
      </w:r>
      <w:proofErr w:type="spellStart"/>
      <w:r w:rsidRPr="0052117F">
        <w:rPr>
          <w:rFonts w:ascii="Times New Roman" w:hAnsi="Times New Roman" w:cs="Times New Roman"/>
          <w:sz w:val="28"/>
        </w:rPr>
        <w:t>про</w:t>
      </w:r>
      <w:r w:rsidR="0090614A" w:rsidRPr="0052117F">
        <w:rPr>
          <w:rFonts w:ascii="Times New Roman" w:hAnsi="Times New Roman" w:cs="Times New Roman"/>
          <w:sz w:val="28"/>
        </w:rPr>
        <w:t>є</w:t>
      </w:r>
      <w:r w:rsidRPr="0052117F">
        <w:rPr>
          <w:rFonts w:ascii="Times New Roman" w:hAnsi="Times New Roman" w:cs="Times New Roman"/>
          <w:sz w:val="28"/>
        </w:rPr>
        <w:t>кт</w:t>
      </w:r>
      <w:proofErr w:type="spellEnd"/>
      <w:r w:rsidRPr="0052117F">
        <w:rPr>
          <w:rFonts w:ascii="Times New Roman" w:hAnsi="Times New Roman" w:cs="Times New Roman"/>
          <w:sz w:val="28"/>
        </w:rPr>
        <w:t xml:space="preserve"> Програми, відповідає цілям екологічної політики, встановлених на національному рівні; враховує їх та пропонує комплекс заходів, спрямованих на їх виконання.</w:t>
      </w:r>
    </w:p>
    <w:p w:rsidR="00154A9E" w:rsidRPr="0052117F" w:rsidRDefault="00154A9E" w:rsidP="00154A9E">
      <w:pPr>
        <w:spacing w:after="0" w:line="240" w:lineRule="auto"/>
        <w:ind w:firstLine="567"/>
        <w:jc w:val="both"/>
        <w:rPr>
          <w:rFonts w:ascii="Times New Roman" w:hAnsi="Times New Roman" w:cs="Times New Roman"/>
          <w:sz w:val="28"/>
        </w:rPr>
      </w:pPr>
      <w:r w:rsidRPr="0052117F">
        <w:rPr>
          <w:rFonts w:ascii="Times New Roman" w:hAnsi="Times New Roman" w:cs="Times New Roman"/>
          <w:sz w:val="28"/>
        </w:rPr>
        <w:t xml:space="preserve">Стосовно дотримання міжнародних зобов’язань у інших напрямах співробітництва, наприклад, таким як зміна клімату, охорона озонового шару та ін., слід зазначити, що вони не мають прямого відношення до головних цілей та завдань </w:t>
      </w:r>
      <w:proofErr w:type="spellStart"/>
      <w:r w:rsidRPr="0052117F">
        <w:rPr>
          <w:rFonts w:ascii="Times New Roman" w:hAnsi="Times New Roman" w:cs="Times New Roman"/>
          <w:sz w:val="28"/>
        </w:rPr>
        <w:t>про</w:t>
      </w:r>
      <w:r w:rsidR="0090614A" w:rsidRPr="0052117F">
        <w:rPr>
          <w:rFonts w:ascii="Times New Roman" w:hAnsi="Times New Roman" w:cs="Times New Roman"/>
          <w:sz w:val="28"/>
        </w:rPr>
        <w:t>є</w:t>
      </w:r>
      <w:r w:rsidRPr="0052117F">
        <w:rPr>
          <w:rFonts w:ascii="Times New Roman" w:hAnsi="Times New Roman" w:cs="Times New Roman"/>
          <w:sz w:val="28"/>
        </w:rPr>
        <w:t>кту</w:t>
      </w:r>
      <w:proofErr w:type="spellEnd"/>
      <w:r w:rsidRPr="0052117F">
        <w:rPr>
          <w:rFonts w:ascii="Times New Roman" w:hAnsi="Times New Roman" w:cs="Times New Roman"/>
          <w:sz w:val="28"/>
        </w:rPr>
        <w:t xml:space="preserve"> документу державного планування, що є документом регіонального рівня.</w:t>
      </w:r>
    </w:p>
    <w:p w:rsidR="00711614" w:rsidRPr="0052117F" w:rsidRDefault="00711614" w:rsidP="00154A9E">
      <w:pPr>
        <w:pStyle w:val="a8"/>
        <w:spacing w:after="0" w:line="240" w:lineRule="auto"/>
        <w:ind w:left="0" w:firstLine="567"/>
        <w:jc w:val="center"/>
        <w:rPr>
          <w:rFonts w:ascii="Times New Roman" w:hAnsi="Times New Roman" w:cs="Times New Roman"/>
          <w:sz w:val="28"/>
        </w:rPr>
      </w:pPr>
    </w:p>
    <w:p w:rsidR="00154A9E" w:rsidRPr="0052117F" w:rsidRDefault="00586167" w:rsidP="00DC2632">
      <w:pPr>
        <w:pStyle w:val="a8"/>
        <w:numPr>
          <w:ilvl w:val="0"/>
          <w:numId w:val="10"/>
        </w:numPr>
        <w:spacing w:after="0" w:line="240" w:lineRule="auto"/>
        <w:ind w:left="0" w:firstLine="567"/>
        <w:jc w:val="both"/>
        <w:rPr>
          <w:rFonts w:ascii="Times New Roman" w:hAnsi="Times New Roman" w:cs="Times New Roman"/>
          <w:b/>
          <w:sz w:val="28"/>
        </w:rPr>
      </w:pPr>
      <w:r w:rsidRPr="0052117F">
        <w:rPr>
          <w:rFonts w:ascii="Times New Roman" w:hAnsi="Times New Roman" w:cs="Times New Roman"/>
          <w:b/>
          <w:sz w:val="28"/>
        </w:rPr>
        <w:lastRenderedPageBreak/>
        <w:t xml:space="preserve">Опис наслідків для довкілля, у тому числі для здоров’я населення, у тому числі вторинних, кумулятивних, </w:t>
      </w:r>
      <w:proofErr w:type="spellStart"/>
      <w:r w:rsidRPr="0052117F">
        <w:rPr>
          <w:rFonts w:ascii="Times New Roman" w:hAnsi="Times New Roman" w:cs="Times New Roman"/>
          <w:b/>
          <w:sz w:val="28"/>
        </w:rPr>
        <w:t>синергічних</w:t>
      </w:r>
      <w:proofErr w:type="spellEnd"/>
      <w:r w:rsidRPr="0052117F">
        <w:rPr>
          <w:rFonts w:ascii="Times New Roman" w:hAnsi="Times New Roman" w:cs="Times New Roman"/>
          <w:b/>
          <w:sz w:val="28"/>
        </w:rPr>
        <w:t xml:space="preserve">, </w:t>
      </w:r>
      <w:proofErr w:type="spellStart"/>
      <w:r w:rsidRPr="0052117F">
        <w:rPr>
          <w:rFonts w:ascii="Times New Roman" w:hAnsi="Times New Roman" w:cs="Times New Roman"/>
          <w:b/>
          <w:sz w:val="28"/>
        </w:rPr>
        <w:t>коротко-</w:t>
      </w:r>
      <w:proofErr w:type="spellEnd"/>
      <w:r w:rsidRPr="0052117F">
        <w:rPr>
          <w:rFonts w:ascii="Times New Roman" w:hAnsi="Times New Roman" w:cs="Times New Roman"/>
          <w:b/>
          <w:sz w:val="28"/>
        </w:rPr>
        <w:t xml:space="preserve">, </w:t>
      </w:r>
      <w:proofErr w:type="spellStart"/>
      <w:r w:rsidRPr="0052117F">
        <w:rPr>
          <w:rFonts w:ascii="Times New Roman" w:hAnsi="Times New Roman" w:cs="Times New Roman"/>
          <w:b/>
          <w:sz w:val="28"/>
        </w:rPr>
        <w:t>середньо-</w:t>
      </w:r>
      <w:proofErr w:type="spellEnd"/>
      <w:r w:rsidRPr="0052117F">
        <w:rPr>
          <w:rFonts w:ascii="Times New Roman" w:hAnsi="Times New Roman" w:cs="Times New Roman"/>
          <w:b/>
          <w:sz w:val="28"/>
        </w:rPr>
        <w:t xml:space="preserve"> та довгострокових (1, 3-5 та 10-15 років відповідно, а за необхідності - 50-100 років), постійних і тимчасових, позитивних і негативних наслідків</w:t>
      </w:r>
      <w:r w:rsidR="002B68C8" w:rsidRPr="0052117F">
        <w:rPr>
          <w:rFonts w:ascii="Times New Roman" w:hAnsi="Times New Roman" w:cs="Times New Roman"/>
          <w:b/>
          <w:sz w:val="28"/>
        </w:rPr>
        <w:t>.</w:t>
      </w:r>
    </w:p>
    <w:p w:rsidR="002B68C8" w:rsidRPr="0052117F" w:rsidRDefault="002B68C8" w:rsidP="002B68C8">
      <w:pPr>
        <w:pStyle w:val="a8"/>
        <w:spacing w:after="0" w:line="240" w:lineRule="auto"/>
        <w:ind w:left="927"/>
        <w:jc w:val="both"/>
        <w:rPr>
          <w:rFonts w:ascii="Times New Roman" w:hAnsi="Times New Roman" w:cs="Times New Roman"/>
          <w:b/>
          <w:sz w:val="28"/>
        </w:rPr>
      </w:pP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Наслідки для довкілля, у тому числі для здоров'я населення - це будь-які ймовірні наслідки реалізації завдань Програми для, </w:t>
      </w:r>
      <w:proofErr w:type="spellStart"/>
      <w:r w:rsidRPr="0052117F">
        <w:rPr>
          <w:rFonts w:ascii="Times New Roman" w:hAnsi="Times New Roman" w:cs="Times New Roman"/>
          <w:sz w:val="28"/>
        </w:rPr>
        <w:t>біорізноманіття</w:t>
      </w:r>
      <w:proofErr w:type="spellEnd"/>
      <w:r w:rsidRPr="0052117F">
        <w:rPr>
          <w:rFonts w:ascii="Times New Roman" w:hAnsi="Times New Roman" w:cs="Times New Roman"/>
          <w:sz w:val="28"/>
        </w:rPr>
        <w:t>, ґрунту, клімату, повітря, води, ландшафту (включаючи техногенного),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Під кумулятивним впливом розуміється сукупність впливів від реалізації планованої діяльності та інших, що існують або плануються в найближчому майбутньому видів антропогенної діяльності, які можуть призвести до значних негативних або позитивних впливів на навколишнє середовище або </w:t>
      </w:r>
      <w:proofErr w:type="spellStart"/>
      <w:r w:rsidRPr="0052117F">
        <w:rPr>
          <w:rFonts w:ascii="Times New Roman" w:hAnsi="Times New Roman" w:cs="Times New Roman"/>
          <w:sz w:val="28"/>
        </w:rPr>
        <w:t>соціально-</w:t>
      </w:r>
      <w:proofErr w:type="spellEnd"/>
      <w:r w:rsidRPr="0052117F">
        <w:rPr>
          <w:rFonts w:ascii="Times New Roman" w:hAnsi="Times New Roman" w:cs="Times New Roman"/>
          <w:sz w:val="28"/>
        </w:rPr>
        <w:t xml:space="preserve"> економічні умови.</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 xml:space="preserve">В процесі стратегічної екологічної оцінки був здійснений аналіз впливу реалізації рішень </w:t>
      </w:r>
      <w:proofErr w:type="spellStart"/>
      <w:r w:rsidRPr="0052117F">
        <w:rPr>
          <w:rFonts w:ascii="Times New Roman" w:hAnsi="Times New Roman" w:cs="Times New Roman"/>
          <w:sz w:val="28"/>
        </w:rPr>
        <w:t>про</w:t>
      </w:r>
      <w:r w:rsidR="00C474B4" w:rsidRPr="0052117F">
        <w:rPr>
          <w:rFonts w:ascii="Times New Roman" w:hAnsi="Times New Roman" w:cs="Times New Roman"/>
          <w:sz w:val="28"/>
        </w:rPr>
        <w:t>є</w:t>
      </w:r>
      <w:r w:rsidRPr="0052117F">
        <w:rPr>
          <w:rFonts w:ascii="Times New Roman" w:hAnsi="Times New Roman" w:cs="Times New Roman"/>
          <w:sz w:val="28"/>
        </w:rPr>
        <w:t>кту</w:t>
      </w:r>
      <w:proofErr w:type="spellEnd"/>
      <w:r w:rsidRPr="0052117F">
        <w:rPr>
          <w:rFonts w:ascii="Times New Roman" w:hAnsi="Times New Roman" w:cs="Times New Roman"/>
          <w:sz w:val="28"/>
        </w:rPr>
        <w:t xml:space="preserve"> Програми як на окремі компоненти навколишнього природного середовища, так і сукупний вплив на природні процеси та комплекси. Значного негативного впливу під час планованої діяльності на довкілля та здоров’я населення не передбачається.</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Можна зробити такі висновки щодо ймовірного впливу документу державного планування на довкілля:</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Вплив на атмосферне повітря.</w:t>
      </w:r>
      <w:r w:rsidRPr="0052117F">
        <w:rPr>
          <w:rFonts w:ascii="Times New Roman" w:hAnsi="Times New Roman" w:cs="Times New Roman"/>
          <w:sz w:val="28"/>
        </w:rPr>
        <w:t xml:space="preserve"> Програма не передбачає виконання заходів, реалізація яких призведе до збільшення обсягів викидів забруднюючих речовин в атмосферне повітря.</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Вплив на водні ресурси.</w:t>
      </w:r>
      <w:r w:rsidRPr="0052117F">
        <w:rPr>
          <w:rFonts w:ascii="Times New Roman" w:hAnsi="Times New Roman" w:cs="Times New Roman"/>
          <w:sz w:val="28"/>
        </w:rPr>
        <w:t xml:space="preserve"> В результаті реалізації Програми передбачається впровадження організаційно-технічних заходів, що має призвести до зниження обсягів скидів забруднених вод у поверхневі води.</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Відходи.</w:t>
      </w:r>
      <w:r w:rsidRPr="0052117F">
        <w:rPr>
          <w:rFonts w:ascii="Times New Roman" w:hAnsi="Times New Roman" w:cs="Times New Roman"/>
          <w:sz w:val="28"/>
        </w:rPr>
        <w:t xml:space="preserve"> Програма не передбачає виконання заходів, реалізація яких призведе до збільшення утворення відходів.</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Вплив на земельні ресурси.</w:t>
      </w:r>
      <w:r w:rsidRPr="0052117F">
        <w:rPr>
          <w:rFonts w:ascii="Times New Roman" w:hAnsi="Times New Roman" w:cs="Times New Roman"/>
          <w:sz w:val="28"/>
        </w:rPr>
        <w:t xml:space="preserve"> Внаслідок реалізації Програми не передбачається змін у топографії або в характеристиках рельєфу, поява таких загроз, як землетруси, зсуви, селеві потоки, провали землі та інші подібні загрози.</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 xml:space="preserve">Вплив на </w:t>
      </w:r>
      <w:proofErr w:type="spellStart"/>
      <w:r w:rsidRPr="0052117F">
        <w:rPr>
          <w:rFonts w:ascii="Times New Roman" w:hAnsi="Times New Roman" w:cs="Times New Roman"/>
          <w:b/>
          <w:sz w:val="28"/>
        </w:rPr>
        <w:t>біорізноманіття</w:t>
      </w:r>
      <w:proofErr w:type="spellEnd"/>
      <w:r w:rsidRPr="0052117F">
        <w:rPr>
          <w:rFonts w:ascii="Times New Roman" w:hAnsi="Times New Roman" w:cs="Times New Roman"/>
          <w:b/>
          <w:sz w:val="28"/>
        </w:rPr>
        <w:t xml:space="preserve"> та рекреаційні зони.</w:t>
      </w:r>
      <w:r w:rsidRPr="0052117F">
        <w:rPr>
          <w:rFonts w:ascii="Times New Roman" w:hAnsi="Times New Roman" w:cs="Times New Roman"/>
          <w:sz w:val="28"/>
        </w:rPr>
        <w:t xml:space="preserve"> В Програмі не передбачається реалізація завдань, які можуть призвести до негативного впливу на </w:t>
      </w:r>
      <w:proofErr w:type="spellStart"/>
      <w:r w:rsidRPr="0052117F">
        <w:rPr>
          <w:rFonts w:ascii="Times New Roman" w:hAnsi="Times New Roman" w:cs="Times New Roman"/>
          <w:sz w:val="28"/>
        </w:rPr>
        <w:t>біорізноманіття</w:t>
      </w:r>
      <w:proofErr w:type="spellEnd"/>
      <w:r w:rsidRPr="0052117F">
        <w:rPr>
          <w:rFonts w:ascii="Times New Roman" w:hAnsi="Times New Roman" w:cs="Times New Roman"/>
          <w:sz w:val="28"/>
        </w:rPr>
        <w:t>.</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Вплив на культурну спадщину.</w:t>
      </w:r>
      <w:r w:rsidRPr="0052117F">
        <w:rPr>
          <w:rFonts w:ascii="Times New Roman" w:hAnsi="Times New Roman" w:cs="Times New Roman"/>
          <w:sz w:val="28"/>
        </w:rPr>
        <w:t xml:space="preserve"> Реалізація Програми не призведе до негативного впливу на наявні об’єкти історико-культурної спадщини.</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Вплив на населення та інфраструктуру.</w:t>
      </w:r>
      <w:r w:rsidRPr="0052117F">
        <w:rPr>
          <w:rFonts w:ascii="Times New Roman" w:hAnsi="Times New Roman" w:cs="Times New Roman"/>
          <w:sz w:val="28"/>
        </w:rPr>
        <w:t xml:space="preserve"> Програма не передбачає появу нових ризиків для здоров’я населення регіону. Більше того, в наслідок виконання передбачених заходів, має знизитися рівень захворюваності населення області.</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Екологічне управління, моніторинг.</w:t>
      </w:r>
      <w:r w:rsidRPr="0052117F">
        <w:rPr>
          <w:rFonts w:ascii="Times New Roman" w:hAnsi="Times New Roman" w:cs="Times New Roman"/>
          <w:sz w:val="28"/>
        </w:rPr>
        <w:t xml:space="preserve"> Програма не передбачає послаблення правових і економічних механізмів контролю в галузі екологічної безпеки.</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lastRenderedPageBreak/>
        <w:t>Кумулятивний вплив.</w:t>
      </w:r>
      <w:r w:rsidRPr="0052117F">
        <w:rPr>
          <w:rFonts w:ascii="Times New Roman" w:hAnsi="Times New Roman" w:cs="Times New Roman"/>
          <w:sz w:val="28"/>
        </w:rPr>
        <w:t xml:space="preserve"> Ймовірність того, що реалізація Програми призведе до таких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b/>
          <w:sz w:val="28"/>
        </w:rPr>
        <w:t>Транскордонний вплив.</w:t>
      </w:r>
      <w:r w:rsidRPr="0052117F">
        <w:rPr>
          <w:rFonts w:ascii="Times New Roman" w:hAnsi="Times New Roman" w:cs="Times New Roman"/>
          <w:sz w:val="28"/>
        </w:rPr>
        <w:t xml:space="preserve"> Транскордонний вплив під час реалізації положень Програми відсутній.</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Таким чином, реалізація Програми не має супроводжуватися появою нових негативних наслідків для довкілля. Разом з тим, реалізація багатьох оперативних завдань Програми має призвести до покращення екологічної ситуації в регіоні.</w:t>
      </w:r>
    </w:p>
    <w:p w:rsidR="002B68C8" w:rsidRPr="0052117F"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Затвердження Програми, зважаючи на комплексність рішень, що обумовлюється необхідністю збалансованого розвитку екологічної складової, а також наукові дослідження у цій галузі у короткостроковий період (1 -3 роки) буде мати незначний вплив на стан довкілля, який буде обумовлений впливом існуючих незмінних факторів.</w:t>
      </w:r>
    </w:p>
    <w:p w:rsidR="002B68C8" w:rsidRPr="009A446D" w:rsidRDefault="002B68C8" w:rsidP="002B68C8">
      <w:pPr>
        <w:pStyle w:val="a8"/>
        <w:spacing w:after="0" w:line="240" w:lineRule="auto"/>
        <w:ind w:left="0" w:firstLine="567"/>
        <w:jc w:val="both"/>
        <w:rPr>
          <w:rFonts w:ascii="Times New Roman" w:hAnsi="Times New Roman" w:cs="Times New Roman"/>
          <w:sz w:val="28"/>
        </w:rPr>
      </w:pPr>
      <w:r w:rsidRPr="0052117F">
        <w:rPr>
          <w:rFonts w:ascii="Times New Roman" w:hAnsi="Times New Roman" w:cs="Times New Roman"/>
          <w:sz w:val="28"/>
        </w:rPr>
        <w:t>Реалізація положень Програми буде мати позитивний вплив на рівень здоров’я населення, тобто сприятиме зниженню рівня захвор</w:t>
      </w:r>
      <w:r w:rsidRPr="009A446D">
        <w:rPr>
          <w:rFonts w:ascii="Times New Roman" w:hAnsi="Times New Roman" w:cs="Times New Roman"/>
          <w:sz w:val="28"/>
        </w:rPr>
        <w:t>юваності населення, що є важливим індикатором регіонального розвитку на середньостроковий та довгостроковий період. У разі продовження розпочатої роботи вплив не буде відрізнятися від короткострокового.</w:t>
      </w:r>
    </w:p>
    <w:p w:rsidR="002B68C8" w:rsidRDefault="002B68C8" w:rsidP="002B68C8">
      <w:pPr>
        <w:pStyle w:val="a8"/>
        <w:spacing w:after="0" w:line="240" w:lineRule="auto"/>
        <w:ind w:left="0" w:firstLine="567"/>
        <w:jc w:val="both"/>
        <w:rPr>
          <w:rFonts w:ascii="Times New Roman" w:hAnsi="Times New Roman" w:cs="Times New Roman"/>
          <w:sz w:val="28"/>
        </w:rPr>
      </w:pPr>
      <w:r w:rsidRPr="009A446D">
        <w:rPr>
          <w:rFonts w:ascii="Times New Roman" w:hAnsi="Times New Roman" w:cs="Times New Roman"/>
          <w:sz w:val="28"/>
        </w:rPr>
        <w:t>У порівнянні з нульовою альтернативою вплив на довкілля оцінюється як незначний, оскільки як зазначалося вище буде обумовлений впливом існуючих незмінних факторів.</w:t>
      </w:r>
    </w:p>
    <w:p w:rsidR="009A446D" w:rsidRDefault="009A446D" w:rsidP="002B68C8">
      <w:pPr>
        <w:pStyle w:val="a8"/>
        <w:spacing w:after="0" w:line="240" w:lineRule="auto"/>
        <w:ind w:left="0" w:firstLine="567"/>
        <w:jc w:val="both"/>
        <w:rPr>
          <w:rFonts w:ascii="Times New Roman" w:hAnsi="Times New Roman" w:cs="Times New Roman"/>
          <w:sz w:val="28"/>
        </w:rPr>
      </w:pPr>
    </w:p>
    <w:p w:rsidR="009A446D" w:rsidRDefault="009A446D" w:rsidP="00DC2632">
      <w:pPr>
        <w:pStyle w:val="a8"/>
        <w:numPr>
          <w:ilvl w:val="0"/>
          <w:numId w:val="10"/>
        </w:numPr>
        <w:spacing w:after="0" w:line="240" w:lineRule="auto"/>
        <w:ind w:left="0" w:firstLine="567"/>
        <w:jc w:val="both"/>
        <w:rPr>
          <w:rFonts w:ascii="Times New Roman" w:hAnsi="Times New Roman" w:cs="Times New Roman"/>
          <w:b/>
          <w:sz w:val="28"/>
        </w:rPr>
      </w:pPr>
      <w:r w:rsidRPr="009A446D">
        <w:rPr>
          <w:rFonts w:ascii="Times New Roman" w:hAnsi="Times New Roman" w:cs="Times New Roman"/>
          <w:b/>
          <w:sz w:val="28"/>
        </w:rPr>
        <w:t>Заходи, що передбачається вжити для запобігання, зменшення та пом’якшення негативних наслідків, зумовлених реалізацією документа державного планування</w:t>
      </w:r>
      <w:r>
        <w:rPr>
          <w:rFonts w:ascii="Times New Roman" w:hAnsi="Times New Roman" w:cs="Times New Roman"/>
          <w:b/>
          <w:sz w:val="28"/>
        </w:rPr>
        <w:t>.</w:t>
      </w:r>
    </w:p>
    <w:p w:rsidR="009A446D" w:rsidRDefault="009A446D" w:rsidP="009A446D">
      <w:pPr>
        <w:spacing w:after="0" w:line="240" w:lineRule="auto"/>
        <w:jc w:val="both"/>
        <w:rPr>
          <w:rFonts w:ascii="Times New Roman" w:hAnsi="Times New Roman" w:cs="Times New Roman"/>
          <w:b/>
          <w:sz w:val="28"/>
        </w:rPr>
      </w:pP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Реалізація Програми потребує виконання великої кількості заходів, виконання яких є невід'ємною складовою при створенні сприятливого в екологічному відношенні життєвого середовища.</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Серед головних заходів, що мають безпосередній</w:t>
      </w:r>
      <w:r w:rsidR="002F3269">
        <w:rPr>
          <w:rFonts w:ascii="Times New Roman" w:hAnsi="Times New Roman" w:cs="Times New Roman"/>
          <w:sz w:val="28"/>
        </w:rPr>
        <w:t xml:space="preserve"> вплив на навколишнє середовище</w:t>
      </w:r>
      <w:r w:rsidRPr="009A446D">
        <w:rPr>
          <w:rFonts w:ascii="Times New Roman" w:hAnsi="Times New Roman" w:cs="Times New Roman"/>
          <w:sz w:val="28"/>
        </w:rPr>
        <w:t>, можна виділити:</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1)</w:t>
      </w:r>
      <w:r w:rsidRPr="009A446D">
        <w:rPr>
          <w:rFonts w:ascii="Times New Roman" w:hAnsi="Times New Roman" w:cs="Times New Roman"/>
          <w:sz w:val="28"/>
        </w:rPr>
        <w:tab/>
        <w:t xml:space="preserve">забезпечення населення </w:t>
      </w:r>
      <w:r w:rsidR="002F3269">
        <w:rPr>
          <w:rFonts w:ascii="Times New Roman" w:hAnsi="Times New Roman" w:cs="Times New Roman"/>
          <w:sz w:val="28"/>
        </w:rPr>
        <w:t>Луганс</w:t>
      </w:r>
      <w:r w:rsidRPr="009A446D">
        <w:rPr>
          <w:rFonts w:ascii="Times New Roman" w:hAnsi="Times New Roman" w:cs="Times New Roman"/>
          <w:sz w:val="28"/>
        </w:rPr>
        <w:t>ької області якісною питною водою та у достатній кількості;</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2)</w:t>
      </w:r>
      <w:r w:rsidRPr="009A446D">
        <w:rPr>
          <w:rFonts w:ascii="Times New Roman" w:hAnsi="Times New Roman" w:cs="Times New Roman"/>
          <w:sz w:val="28"/>
        </w:rPr>
        <w:tab/>
        <w:t>створення резервного водопостачання;</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3)</w:t>
      </w:r>
      <w:r w:rsidRPr="009A446D">
        <w:rPr>
          <w:rFonts w:ascii="Times New Roman" w:hAnsi="Times New Roman" w:cs="Times New Roman"/>
          <w:sz w:val="28"/>
        </w:rPr>
        <w:tab/>
        <w:t>роз</w:t>
      </w:r>
      <w:r w:rsidR="002F3269">
        <w:rPr>
          <w:rFonts w:ascii="Times New Roman" w:hAnsi="Times New Roman" w:cs="Times New Roman"/>
          <w:sz w:val="28"/>
        </w:rPr>
        <w:t>в</w:t>
      </w:r>
      <w:r w:rsidRPr="009A446D">
        <w:rPr>
          <w:rFonts w:ascii="Times New Roman" w:hAnsi="Times New Roman" w:cs="Times New Roman"/>
          <w:sz w:val="28"/>
        </w:rPr>
        <w:t>иток водопровідно-каналізаційних мереж;</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4)</w:t>
      </w:r>
      <w:r w:rsidRPr="009A446D">
        <w:rPr>
          <w:rFonts w:ascii="Times New Roman" w:hAnsi="Times New Roman" w:cs="Times New Roman"/>
          <w:sz w:val="28"/>
        </w:rPr>
        <w:tab/>
        <w:t>припинення забруднення навколишнього природного середовища неочищеними стічними водами;</w:t>
      </w:r>
    </w:p>
    <w:p w:rsidR="009A446D" w:rsidRPr="009A446D" w:rsidRDefault="002F3269" w:rsidP="009A446D">
      <w:pPr>
        <w:spacing w:after="0" w:line="240" w:lineRule="auto"/>
        <w:ind w:firstLine="567"/>
        <w:jc w:val="both"/>
        <w:rPr>
          <w:rFonts w:ascii="Times New Roman" w:hAnsi="Times New Roman" w:cs="Times New Roman"/>
          <w:sz w:val="28"/>
        </w:rPr>
      </w:pPr>
      <w:r>
        <w:rPr>
          <w:rFonts w:ascii="Times New Roman" w:hAnsi="Times New Roman" w:cs="Times New Roman"/>
          <w:sz w:val="28"/>
        </w:rPr>
        <w:t>5</w:t>
      </w:r>
      <w:r w:rsidR="009A446D" w:rsidRPr="009A446D">
        <w:rPr>
          <w:rFonts w:ascii="Times New Roman" w:hAnsi="Times New Roman" w:cs="Times New Roman"/>
          <w:sz w:val="28"/>
        </w:rPr>
        <w:t>)</w:t>
      </w:r>
      <w:r w:rsidR="009A446D" w:rsidRPr="009A446D">
        <w:rPr>
          <w:rFonts w:ascii="Times New Roman" w:hAnsi="Times New Roman" w:cs="Times New Roman"/>
          <w:sz w:val="28"/>
        </w:rPr>
        <w:tab/>
        <w:t>проведення реконструкції, модернізації, нове будівництво об’єктів для забезпечення цілодобового водопостачання в містах та районах області;</w:t>
      </w:r>
    </w:p>
    <w:p w:rsidR="009A446D" w:rsidRPr="009A446D" w:rsidRDefault="002F3269" w:rsidP="009A446D">
      <w:pPr>
        <w:spacing w:after="0" w:line="240" w:lineRule="auto"/>
        <w:ind w:firstLine="567"/>
        <w:jc w:val="both"/>
        <w:rPr>
          <w:rFonts w:ascii="Times New Roman" w:hAnsi="Times New Roman" w:cs="Times New Roman"/>
          <w:sz w:val="28"/>
        </w:rPr>
      </w:pPr>
      <w:r>
        <w:rPr>
          <w:rFonts w:ascii="Times New Roman" w:hAnsi="Times New Roman" w:cs="Times New Roman"/>
          <w:sz w:val="28"/>
        </w:rPr>
        <w:t>6</w:t>
      </w:r>
      <w:r w:rsidR="009A446D" w:rsidRPr="009A446D">
        <w:rPr>
          <w:rFonts w:ascii="Times New Roman" w:hAnsi="Times New Roman" w:cs="Times New Roman"/>
          <w:sz w:val="28"/>
        </w:rPr>
        <w:t>)</w:t>
      </w:r>
      <w:r w:rsidR="009A446D" w:rsidRPr="009A446D">
        <w:rPr>
          <w:rFonts w:ascii="Times New Roman" w:hAnsi="Times New Roman" w:cs="Times New Roman"/>
          <w:sz w:val="28"/>
        </w:rPr>
        <w:tab/>
        <w:t xml:space="preserve">застосування </w:t>
      </w:r>
      <w:proofErr w:type="spellStart"/>
      <w:r w:rsidR="009A446D" w:rsidRPr="009A446D">
        <w:rPr>
          <w:rFonts w:ascii="Times New Roman" w:hAnsi="Times New Roman" w:cs="Times New Roman"/>
          <w:sz w:val="28"/>
        </w:rPr>
        <w:t>енергоефективних</w:t>
      </w:r>
      <w:proofErr w:type="spellEnd"/>
      <w:r w:rsidR="009A446D" w:rsidRPr="009A446D">
        <w:rPr>
          <w:rFonts w:ascii="Times New Roman" w:hAnsi="Times New Roman" w:cs="Times New Roman"/>
          <w:sz w:val="28"/>
        </w:rPr>
        <w:t xml:space="preserve"> технологій з метою зменшення втрат води та споживання електроенергії;</w:t>
      </w:r>
    </w:p>
    <w:p w:rsidR="009A446D" w:rsidRPr="009A446D" w:rsidRDefault="002F3269" w:rsidP="009A446D">
      <w:pPr>
        <w:spacing w:after="0" w:line="240" w:lineRule="auto"/>
        <w:ind w:firstLine="567"/>
        <w:jc w:val="both"/>
        <w:rPr>
          <w:rFonts w:ascii="Times New Roman" w:hAnsi="Times New Roman" w:cs="Times New Roman"/>
          <w:sz w:val="28"/>
        </w:rPr>
      </w:pPr>
      <w:r>
        <w:rPr>
          <w:rFonts w:ascii="Times New Roman" w:hAnsi="Times New Roman" w:cs="Times New Roman"/>
          <w:sz w:val="28"/>
        </w:rPr>
        <w:t>7</w:t>
      </w:r>
      <w:r w:rsidR="009A446D" w:rsidRPr="009A446D">
        <w:rPr>
          <w:rFonts w:ascii="Times New Roman" w:hAnsi="Times New Roman" w:cs="Times New Roman"/>
          <w:sz w:val="28"/>
        </w:rPr>
        <w:t>)</w:t>
      </w:r>
      <w:r w:rsidR="009A446D" w:rsidRPr="009A446D">
        <w:rPr>
          <w:rFonts w:ascii="Times New Roman" w:hAnsi="Times New Roman" w:cs="Times New Roman"/>
          <w:sz w:val="28"/>
        </w:rPr>
        <w:tab/>
        <w:t>відновлення, будівництво, реконструкція очисних споруд та мереж водовідведення.</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lastRenderedPageBreak/>
        <w:t xml:space="preserve">Виконання заходів, передбачених Програмою, матиме позитивний вплив на стан водних ресурсів, поліпшення загального екологічного та естетичного стану території </w:t>
      </w:r>
      <w:r w:rsidR="002F3269">
        <w:rPr>
          <w:rFonts w:ascii="Times New Roman" w:hAnsi="Times New Roman" w:cs="Times New Roman"/>
          <w:sz w:val="28"/>
        </w:rPr>
        <w:t>Луганс</w:t>
      </w:r>
      <w:r w:rsidRPr="009A446D">
        <w:rPr>
          <w:rFonts w:ascii="Times New Roman" w:hAnsi="Times New Roman" w:cs="Times New Roman"/>
          <w:sz w:val="28"/>
        </w:rPr>
        <w:t>ької області.</w:t>
      </w:r>
    </w:p>
    <w:p w:rsid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У разі виникнення будь-яких не передбачених негативних впливів, Замовник зобов'язується також виконати заходи, для запобігання, зменшення та пом’якшення негативних наслідків, зумовлених реалізацією документа державного планування.</w:t>
      </w:r>
    </w:p>
    <w:p w:rsidR="009A446D" w:rsidRDefault="009A446D" w:rsidP="009A446D">
      <w:pPr>
        <w:spacing w:after="0" w:line="240" w:lineRule="auto"/>
        <w:ind w:firstLine="567"/>
        <w:jc w:val="both"/>
        <w:rPr>
          <w:rFonts w:ascii="Times New Roman" w:hAnsi="Times New Roman" w:cs="Times New Roman"/>
          <w:sz w:val="28"/>
        </w:rPr>
      </w:pPr>
    </w:p>
    <w:p w:rsidR="009A446D" w:rsidRPr="009A446D" w:rsidRDefault="009A446D" w:rsidP="00DC2632">
      <w:pPr>
        <w:pStyle w:val="a8"/>
        <w:numPr>
          <w:ilvl w:val="0"/>
          <w:numId w:val="10"/>
        </w:numPr>
        <w:spacing w:after="0" w:line="240" w:lineRule="auto"/>
        <w:ind w:left="0" w:firstLine="567"/>
        <w:jc w:val="both"/>
        <w:rPr>
          <w:rFonts w:ascii="Times New Roman" w:hAnsi="Times New Roman" w:cs="Times New Roman"/>
          <w:b/>
          <w:sz w:val="28"/>
        </w:rPr>
      </w:pPr>
      <w:r w:rsidRPr="009A446D">
        <w:rPr>
          <w:rFonts w:ascii="Times New Roman" w:hAnsi="Times New Roman" w:cs="Times New Roman"/>
          <w:b/>
          <w:sz w:val="28"/>
        </w:rPr>
        <w:t>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9A446D" w:rsidRDefault="009A446D" w:rsidP="009A446D">
      <w:pPr>
        <w:spacing w:after="0" w:line="240" w:lineRule="auto"/>
        <w:jc w:val="both"/>
        <w:rPr>
          <w:rFonts w:ascii="Times New Roman" w:hAnsi="Times New Roman" w:cs="Times New Roman"/>
          <w:b/>
          <w:sz w:val="28"/>
        </w:rPr>
      </w:pP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Під час підготовки звіту стратегічної екологічної оцінки визначено доцільність і прийнятність планованої діяльності і обґрунтування економічних, технічних, організаційних, державно-правових та інших заходів щодо забезпечення безпеки довкілля, а також оцінено вплив на навколишнє середовище, прогноз впливу на навколишнє середовище, виходячи із особливостей планованої діяльності з урахуванням природних, соціальних та техногенних умов.</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У контексті стратегічної екологічної оцінки Програми були розглянуті два сценарії розвитку:</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w:t>
      </w:r>
      <w:r w:rsidRPr="009A446D">
        <w:rPr>
          <w:rFonts w:ascii="Times New Roman" w:hAnsi="Times New Roman" w:cs="Times New Roman"/>
          <w:sz w:val="28"/>
        </w:rPr>
        <w:tab/>
        <w:t>оптимістичний, який демонструє позитивну динаміку, яка можлива за умови успішної реалізації Програми;</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w:t>
      </w:r>
      <w:r w:rsidRPr="009A446D">
        <w:rPr>
          <w:rFonts w:ascii="Times New Roman" w:hAnsi="Times New Roman" w:cs="Times New Roman"/>
          <w:sz w:val="28"/>
        </w:rPr>
        <w:tab/>
        <w:t>гіпотетичний «нульової», за яким не розробляється і не затверджується Програма, за яким більшість зовнішніх загроз і багато внутрішніх проблем з високою ймовірністю погіршать існуючу екологічну ситуацію.</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Програма базується на принципі сталого економічного та соціального розвитку, раціонального використання ресурсного потенціалу та екологічної безпеки регіону.</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Напрями розвитку включають природоохоронну складову й спрямовані на забезпечення цілей високого рівня охорони і зменшення впливу на довкілля.</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 xml:space="preserve">За результатами аналізу визначено, що в рамках гіпотетичного сценарію подальший сталий розвиток </w:t>
      </w:r>
      <w:r w:rsidR="00C474B4">
        <w:rPr>
          <w:rFonts w:ascii="Times New Roman" w:hAnsi="Times New Roman" w:cs="Times New Roman"/>
          <w:sz w:val="28"/>
        </w:rPr>
        <w:t>Луганс</w:t>
      </w:r>
      <w:r w:rsidRPr="009A446D">
        <w:rPr>
          <w:rFonts w:ascii="Times New Roman" w:hAnsi="Times New Roman" w:cs="Times New Roman"/>
          <w:sz w:val="28"/>
        </w:rPr>
        <w:t xml:space="preserve">ької області є дещо ускладненим, і цей сценарій призводить до погіршення екологічної ситуації в межах регіону, продовження подальшого неефективного використання </w:t>
      </w:r>
      <w:r w:rsidR="00C474B4">
        <w:rPr>
          <w:rFonts w:ascii="Times New Roman" w:hAnsi="Times New Roman" w:cs="Times New Roman"/>
          <w:sz w:val="28"/>
        </w:rPr>
        <w:t>природних</w:t>
      </w:r>
      <w:r w:rsidRPr="009A446D">
        <w:rPr>
          <w:rFonts w:ascii="Times New Roman" w:hAnsi="Times New Roman" w:cs="Times New Roman"/>
          <w:sz w:val="28"/>
        </w:rPr>
        <w:t xml:space="preserve"> та енергетичних ресурсів.</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Результати проведення цільового аналізу планованих завдань щодо їх відповідності цілям охорони довкілля, визначених на регіональному рівні, виявили необхідність прийняття Програми.</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t>В інтересах ефективного та сталого розвитку області та підвищення якості життя населення найсприятливішим варіантом буде затвердження запропонованої Програми.</w:t>
      </w:r>
    </w:p>
    <w:p w:rsidR="009A446D" w:rsidRPr="009A446D" w:rsidRDefault="009A446D" w:rsidP="009A446D">
      <w:pPr>
        <w:spacing w:after="0" w:line="240" w:lineRule="auto"/>
        <w:ind w:firstLine="567"/>
        <w:jc w:val="both"/>
        <w:rPr>
          <w:rFonts w:ascii="Times New Roman" w:hAnsi="Times New Roman" w:cs="Times New Roman"/>
          <w:sz w:val="28"/>
        </w:rPr>
      </w:pPr>
      <w:r w:rsidRPr="009A446D">
        <w:rPr>
          <w:rFonts w:ascii="Times New Roman" w:hAnsi="Times New Roman" w:cs="Times New Roman"/>
          <w:sz w:val="28"/>
        </w:rPr>
        <w:lastRenderedPageBreak/>
        <w:t>При підготовці Звіту із стратегічної екологічної оцінки труднощі не були виявлені.</w:t>
      </w:r>
    </w:p>
    <w:p w:rsidR="009A446D" w:rsidRDefault="003D550D" w:rsidP="009A446D">
      <w:pPr>
        <w:pStyle w:val="a8"/>
        <w:spacing w:after="0" w:line="240" w:lineRule="auto"/>
        <w:ind w:left="0" w:firstLine="567"/>
        <w:jc w:val="both"/>
        <w:rPr>
          <w:rFonts w:ascii="Times New Roman" w:hAnsi="Times New Roman" w:cs="Times New Roman"/>
          <w:b/>
          <w:sz w:val="28"/>
        </w:rPr>
      </w:pPr>
      <w:r>
        <w:rPr>
          <w:rFonts w:ascii="Times New Roman" w:hAnsi="Times New Roman" w:cs="Times New Roman"/>
          <w:b/>
          <w:sz w:val="28"/>
        </w:rPr>
        <w:t xml:space="preserve"> </w:t>
      </w:r>
    </w:p>
    <w:p w:rsidR="003D550D" w:rsidRDefault="003D550D" w:rsidP="009A446D">
      <w:pPr>
        <w:pStyle w:val="a8"/>
        <w:spacing w:after="0" w:line="240" w:lineRule="auto"/>
        <w:ind w:left="0" w:firstLine="567"/>
        <w:jc w:val="both"/>
        <w:rPr>
          <w:rFonts w:ascii="Times New Roman" w:hAnsi="Times New Roman" w:cs="Times New Roman"/>
          <w:b/>
          <w:sz w:val="28"/>
        </w:rPr>
      </w:pPr>
      <w:r w:rsidRPr="003D550D">
        <w:rPr>
          <w:rFonts w:ascii="Times New Roman" w:hAnsi="Times New Roman" w:cs="Times New Roman"/>
          <w:b/>
          <w:sz w:val="28"/>
        </w:rPr>
        <w:t>9 Заходи, передбачені для здійснення моніторингу наслідків виконання документа державного планування, у тому числі для здоров’я населення.</w:t>
      </w:r>
    </w:p>
    <w:p w:rsidR="003D550D" w:rsidRDefault="003D550D" w:rsidP="009A446D">
      <w:pPr>
        <w:pStyle w:val="a8"/>
        <w:spacing w:after="0" w:line="240" w:lineRule="auto"/>
        <w:ind w:left="0" w:firstLine="567"/>
        <w:jc w:val="both"/>
        <w:rPr>
          <w:rFonts w:ascii="Times New Roman" w:hAnsi="Times New Roman" w:cs="Times New Roman"/>
          <w:b/>
          <w:sz w:val="28"/>
        </w:rPr>
      </w:pPr>
    </w:p>
    <w:p w:rsidR="00DD7B49" w:rsidRPr="00DD7B49" w:rsidRDefault="00DD7B49" w:rsidP="00DD7B49">
      <w:pPr>
        <w:widowControl w:val="0"/>
        <w:spacing w:after="0" w:line="322" w:lineRule="exact"/>
        <w:ind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На підставі проведеного аналізу зроблено висновок, що Програма відповідає державним та регіональним стратегічним документам, реалізація заходів Програми не справить значного негативного впливу на стан довкілля та здоров’я населення.</w:t>
      </w:r>
    </w:p>
    <w:p w:rsidR="00DD7B49" w:rsidRPr="00DD7B49" w:rsidRDefault="00DD7B49" w:rsidP="00DD7B49">
      <w:pPr>
        <w:widowControl w:val="0"/>
        <w:spacing w:after="0" w:line="322" w:lineRule="exact"/>
        <w:ind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Не зважаючи на зазначене рекомендується здійснення наступних контрольних заходів:</w:t>
      </w:r>
    </w:p>
    <w:p w:rsidR="00DD7B49" w:rsidRPr="00DD7B49" w:rsidRDefault="00DD7B49" w:rsidP="00DD7B49">
      <w:pPr>
        <w:widowControl w:val="0"/>
        <w:spacing w:after="0" w:line="322" w:lineRule="exact"/>
        <w:ind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порівняння фактичного стану компонентів довкілля з минулорічними показниками у містах області, в яких реалізуються заходи Програми, 1 раз на рік на підставі 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Програми;</w:t>
      </w:r>
    </w:p>
    <w:p w:rsidR="00DD7B49" w:rsidRPr="00DD7B49" w:rsidRDefault="00DD7B49" w:rsidP="00C474B4">
      <w:pPr>
        <w:widowControl w:val="0"/>
        <w:spacing w:after="0" w:line="322" w:lineRule="exact"/>
        <w:ind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порівняння захворюваності населення з минулорічними показниками у містах області в яких реалізуються заходи Програми, 1 раз на рік на підставі</w:t>
      </w:r>
      <w:r w:rsidR="00C474B4">
        <w:rPr>
          <w:rFonts w:ascii="Times New Roman" w:eastAsia="Times New Roman" w:hAnsi="Times New Roman" w:cs="Times New Roman"/>
          <w:sz w:val="28"/>
          <w:szCs w:val="28"/>
          <w:lang w:eastAsia="uk-UA" w:bidi="uk-UA"/>
        </w:rPr>
        <w:t xml:space="preserve"> </w:t>
      </w:r>
      <w:r w:rsidRPr="00DD7B49">
        <w:rPr>
          <w:rFonts w:ascii="Times New Roman" w:eastAsia="Times New Roman" w:hAnsi="Times New Roman" w:cs="Times New Roman"/>
          <w:sz w:val="28"/>
          <w:szCs w:val="28"/>
          <w:lang w:eastAsia="uk-UA" w:bidi="uk-UA"/>
        </w:rPr>
        <w:t>результатів державного статистичного спостереження. У разі виявлення перевищень минулорічних показників провести аналіз на предмет зв’язку з реалізацією заходів Програми.</w:t>
      </w:r>
    </w:p>
    <w:p w:rsidR="00DD7B49" w:rsidRPr="00DD7B49" w:rsidRDefault="00DD7B49" w:rsidP="00DD7B49">
      <w:pPr>
        <w:widowControl w:val="0"/>
        <w:spacing w:after="0" w:line="322" w:lineRule="exact"/>
        <w:ind w:right="140"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Оскільки Програма є документом державного планування з обмеженим терміном дії, пропонується здійснити моніторинг виконання Програми, обмежившись періодом дії Програми.</w:t>
      </w:r>
    </w:p>
    <w:p w:rsidR="00DD7B49" w:rsidRPr="00DD7B49" w:rsidRDefault="00DD7B49" w:rsidP="00DD7B49">
      <w:pPr>
        <w:widowControl w:val="0"/>
        <w:spacing w:after="0" w:line="322" w:lineRule="exact"/>
        <w:ind w:right="140" w:firstLine="567"/>
        <w:jc w:val="both"/>
        <w:rPr>
          <w:rFonts w:ascii="Times New Roman" w:eastAsia="Times New Roman" w:hAnsi="Times New Roman" w:cs="Times New Roman"/>
          <w:sz w:val="28"/>
          <w:szCs w:val="28"/>
          <w:lang w:eastAsia="uk-UA" w:bidi="uk-UA"/>
        </w:rPr>
      </w:pPr>
      <w:r w:rsidRPr="00DD7B49">
        <w:rPr>
          <w:rFonts w:ascii="Times New Roman" w:eastAsia="Times New Roman" w:hAnsi="Times New Roman" w:cs="Times New Roman"/>
          <w:sz w:val="28"/>
          <w:szCs w:val="28"/>
          <w:lang w:eastAsia="uk-UA" w:bidi="uk-UA"/>
        </w:rPr>
        <w:t xml:space="preserve">Екологічні індикатори для моніторингу виконання Програми наведено в таблиці </w:t>
      </w:r>
      <w:r w:rsidR="00B40DCC">
        <w:rPr>
          <w:rFonts w:ascii="Times New Roman" w:eastAsia="Times New Roman" w:hAnsi="Times New Roman" w:cs="Times New Roman"/>
          <w:sz w:val="28"/>
          <w:szCs w:val="28"/>
          <w:lang w:eastAsia="uk-UA" w:bidi="uk-UA"/>
        </w:rPr>
        <w:t>5</w:t>
      </w:r>
      <w:r w:rsidRPr="00DD7B49">
        <w:rPr>
          <w:rFonts w:ascii="Times New Roman" w:eastAsia="Times New Roman" w:hAnsi="Times New Roman" w:cs="Times New Roman"/>
          <w:sz w:val="28"/>
          <w:szCs w:val="28"/>
          <w:lang w:eastAsia="uk-UA" w:bidi="uk-UA"/>
        </w:rPr>
        <w:t>.</w:t>
      </w:r>
    </w:p>
    <w:p w:rsidR="003D550D" w:rsidRPr="00C474B4" w:rsidRDefault="003D550D" w:rsidP="00C474B4">
      <w:pPr>
        <w:spacing w:after="0" w:line="240" w:lineRule="auto"/>
        <w:jc w:val="both"/>
        <w:rPr>
          <w:rFonts w:ascii="Times New Roman" w:hAnsi="Times New Roman" w:cs="Times New Roman"/>
          <w:sz w:val="28"/>
        </w:rPr>
      </w:pPr>
    </w:p>
    <w:p w:rsidR="00DD7B49" w:rsidRPr="00DD7B49" w:rsidRDefault="00DD7B49" w:rsidP="00DD7B49">
      <w:pPr>
        <w:pStyle w:val="a8"/>
        <w:spacing w:after="0" w:line="240" w:lineRule="auto"/>
        <w:ind w:left="0" w:firstLine="567"/>
        <w:jc w:val="right"/>
        <w:rPr>
          <w:rFonts w:ascii="Times New Roman" w:hAnsi="Times New Roman" w:cs="Times New Roman"/>
          <w:sz w:val="20"/>
        </w:rPr>
      </w:pPr>
      <w:r>
        <w:rPr>
          <w:rFonts w:ascii="Times New Roman" w:hAnsi="Times New Roman" w:cs="Times New Roman"/>
          <w:sz w:val="20"/>
        </w:rPr>
        <w:t xml:space="preserve">Таблиця </w:t>
      </w:r>
      <w:r w:rsidR="00B40DCC">
        <w:rPr>
          <w:rFonts w:ascii="Times New Roman" w:hAnsi="Times New Roman" w:cs="Times New Roman"/>
          <w:sz w:val="20"/>
        </w:rPr>
        <w:t>5</w:t>
      </w:r>
    </w:p>
    <w:tbl>
      <w:tblPr>
        <w:tblW w:w="0" w:type="auto"/>
        <w:tblLayout w:type="fixed"/>
        <w:tblCellMar>
          <w:left w:w="10" w:type="dxa"/>
          <w:right w:w="10" w:type="dxa"/>
        </w:tblCellMar>
        <w:tblLook w:val="0000" w:firstRow="0" w:lastRow="0" w:firstColumn="0" w:lastColumn="0" w:noHBand="0" w:noVBand="0"/>
      </w:tblPr>
      <w:tblGrid>
        <w:gridCol w:w="773"/>
        <w:gridCol w:w="9160"/>
      </w:tblGrid>
      <w:tr w:rsidR="00DD7B49" w:rsidRPr="00DD7B49" w:rsidTr="00DD7B49">
        <w:trPr>
          <w:trHeight w:hRule="exact" w:val="355"/>
        </w:trPr>
        <w:tc>
          <w:tcPr>
            <w:tcW w:w="773" w:type="dxa"/>
            <w:tcBorders>
              <w:top w:val="single" w:sz="4" w:space="0" w:color="auto"/>
              <w:left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b/>
                <w:lang w:bidi="uk-UA"/>
              </w:rPr>
            </w:pPr>
            <w:r w:rsidRPr="00DD7B49">
              <w:rPr>
                <w:rFonts w:ascii="Times New Roman" w:hAnsi="Times New Roman" w:cs="Times New Roman"/>
                <w:b/>
                <w:lang w:bidi="uk-UA"/>
              </w:rPr>
              <w:t>№</w:t>
            </w:r>
          </w:p>
        </w:tc>
        <w:tc>
          <w:tcPr>
            <w:tcW w:w="9160" w:type="dxa"/>
            <w:tcBorders>
              <w:top w:val="single" w:sz="4" w:space="0" w:color="auto"/>
              <w:left w:val="single" w:sz="4" w:space="0" w:color="auto"/>
              <w:right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b/>
                <w:lang w:bidi="uk-UA"/>
              </w:rPr>
            </w:pPr>
            <w:r w:rsidRPr="00DD7B49">
              <w:rPr>
                <w:rFonts w:ascii="Times New Roman" w:hAnsi="Times New Roman" w:cs="Times New Roman"/>
                <w:b/>
                <w:lang w:bidi="uk-UA"/>
              </w:rPr>
              <w:t>Індикатор</w:t>
            </w:r>
          </w:p>
        </w:tc>
      </w:tr>
      <w:tr w:rsidR="00DD7B49" w:rsidRPr="00DD7B49" w:rsidTr="00DD7B49">
        <w:trPr>
          <w:trHeight w:hRule="exact" w:val="335"/>
        </w:trPr>
        <w:tc>
          <w:tcPr>
            <w:tcW w:w="9933" w:type="dxa"/>
            <w:gridSpan w:val="2"/>
            <w:tcBorders>
              <w:top w:val="single" w:sz="4" w:space="0" w:color="auto"/>
              <w:left w:val="single" w:sz="4" w:space="0" w:color="auto"/>
              <w:right w:val="single" w:sz="4" w:space="0" w:color="auto"/>
            </w:tcBorders>
            <w:shd w:val="clear" w:color="auto" w:fill="FFFFFF"/>
            <w:vAlign w:val="bottom"/>
          </w:tcPr>
          <w:p w:rsidR="00DD7B49" w:rsidRPr="00DD7B49" w:rsidRDefault="00DD7B49" w:rsidP="00DD7B49">
            <w:pPr>
              <w:pStyle w:val="a8"/>
              <w:spacing w:line="240" w:lineRule="auto"/>
              <w:ind w:left="0" w:firstLine="567"/>
              <w:jc w:val="center"/>
              <w:rPr>
                <w:rFonts w:ascii="Times New Roman" w:hAnsi="Times New Roman" w:cs="Times New Roman"/>
                <w:lang w:bidi="uk-UA"/>
              </w:rPr>
            </w:pPr>
            <w:r w:rsidRPr="00DD7B49">
              <w:rPr>
                <w:rFonts w:ascii="Times New Roman" w:hAnsi="Times New Roman" w:cs="Times New Roman"/>
                <w:lang w:bidi="uk-UA"/>
              </w:rPr>
              <w:t>Забруднення</w:t>
            </w:r>
          </w:p>
        </w:tc>
      </w:tr>
      <w:tr w:rsidR="00DD7B49" w:rsidRPr="00DD7B49" w:rsidTr="00DD7B49">
        <w:trPr>
          <w:trHeight w:hRule="exact" w:val="425"/>
        </w:trPr>
        <w:tc>
          <w:tcPr>
            <w:tcW w:w="773" w:type="dxa"/>
            <w:tcBorders>
              <w:top w:val="single" w:sz="4" w:space="0" w:color="auto"/>
              <w:left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lang w:bidi="uk-UA"/>
              </w:rPr>
            </w:pPr>
            <w:r>
              <w:rPr>
                <w:rFonts w:ascii="Times New Roman" w:hAnsi="Times New Roman" w:cs="Times New Roman"/>
                <w:lang w:bidi="uk-UA"/>
              </w:rPr>
              <w:t>1</w:t>
            </w:r>
          </w:p>
        </w:tc>
        <w:tc>
          <w:tcPr>
            <w:tcW w:w="9160" w:type="dxa"/>
            <w:tcBorders>
              <w:top w:val="single" w:sz="4" w:space="0" w:color="auto"/>
              <w:left w:val="single" w:sz="4" w:space="0" w:color="auto"/>
              <w:right w:val="single" w:sz="4" w:space="0" w:color="auto"/>
            </w:tcBorders>
            <w:shd w:val="clear" w:color="auto" w:fill="FFFFFF"/>
            <w:vAlign w:val="center"/>
          </w:tcPr>
          <w:p w:rsidR="00DD7B49" w:rsidRPr="00DD7B49" w:rsidRDefault="00DD7B49" w:rsidP="00DD7B49">
            <w:pPr>
              <w:pStyle w:val="a8"/>
              <w:spacing w:line="240" w:lineRule="auto"/>
              <w:ind w:firstLine="567"/>
              <w:jc w:val="center"/>
              <w:rPr>
                <w:rFonts w:ascii="Times New Roman" w:hAnsi="Times New Roman" w:cs="Times New Roman"/>
                <w:lang w:bidi="uk-UA"/>
              </w:rPr>
            </w:pPr>
            <w:r w:rsidRPr="00DD7B49">
              <w:rPr>
                <w:rFonts w:ascii="Times New Roman" w:hAnsi="Times New Roman" w:cs="Times New Roman"/>
                <w:lang w:bidi="uk-UA"/>
              </w:rPr>
              <w:t>Обсяги забору та використання свіжо ї води</w:t>
            </w:r>
          </w:p>
        </w:tc>
      </w:tr>
      <w:tr w:rsidR="00DD7B49" w:rsidRPr="00DD7B49" w:rsidTr="00DD7B49">
        <w:trPr>
          <w:trHeight w:hRule="exact" w:val="417"/>
        </w:trPr>
        <w:tc>
          <w:tcPr>
            <w:tcW w:w="773" w:type="dxa"/>
            <w:tcBorders>
              <w:top w:val="single" w:sz="4" w:space="0" w:color="auto"/>
              <w:left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lang w:bidi="uk-UA"/>
              </w:rPr>
            </w:pPr>
            <w:r>
              <w:rPr>
                <w:rFonts w:ascii="Times New Roman" w:hAnsi="Times New Roman" w:cs="Times New Roman"/>
                <w:lang w:bidi="uk-UA"/>
              </w:rPr>
              <w:t>2</w:t>
            </w:r>
          </w:p>
        </w:tc>
        <w:tc>
          <w:tcPr>
            <w:tcW w:w="9160" w:type="dxa"/>
            <w:tcBorders>
              <w:top w:val="single" w:sz="4" w:space="0" w:color="auto"/>
              <w:left w:val="single" w:sz="4" w:space="0" w:color="auto"/>
              <w:right w:val="single" w:sz="4" w:space="0" w:color="auto"/>
            </w:tcBorders>
            <w:shd w:val="clear" w:color="auto" w:fill="FFFFFF"/>
            <w:vAlign w:val="center"/>
          </w:tcPr>
          <w:p w:rsidR="00DD7B49" w:rsidRPr="00DD7B49" w:rsidRDefault="00DD7B49" w:rsidP="00DD7B49">
            <w:pPr>
              <w:pStyle w:val="a8"/>
              <w:spacing w:line="240" w:lineRule="auto"/>
              <w:ind w:firstLine="567"/>
              <w:jc w:val="center"/>
              <w:rPr>
                <w:rFonts w:ascii="Times New Roman" w:hAnsi="Times New Roman" w:cs="Times New Roman"/>
                <w:lang w:bidi="uk-UA"/>
              </w:rPr>
            </w:pPr>
            <w:r w:rsidRPr="00DD7B49">
              <w:rPr>
                <w:rFonts w:ascii="Times New Roman" w:hAnsi="Times New Roman" w:cs="Times New Roman"/>
                <w:lang w:bidi="uk-UA"/>
              </w:rPr>
              <w:t>Обсяги скидання зворотних вод у водні об’єкти</w:t>
            </w:r>
          </w:p>
        </w:tc>
      </w:tr>
      <w:tr w:rsidR="00DD7B49" w:rsidRPr="00DD7B49" w:rsidTr="00DD7B49">
        <w:trPr>
          <w:trHeight w:hRule="exact" w:val="437"/>
        </w:trPr>
        <w:tc>
          <w:tcPr>
            <w:tcW w:w="773" w:type="dxa"/>
            <w:tcBorders>
              <w:top w:val="single" w:sz="4" w:space="0" w:color="auto"/>
              <w:left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lang w:bidi="uk-UA"/>
              </w:rPr>
            </w:pPr>
            <w:r>
              <w:rPr>
                <w:rFonts w:ascii="Times New Roman" w:hAnsi="Times New Roman" w:cs="Times New Roman"/>
                <w:lang w:bidi="uk-UA"/>
              </w:rPr>
              <w:t>3</w:t>
            </w:r>
          </w:p>
        </w:tc>
        <w:tc>
          <w:tcPr>
            <w:tcW w:w="9160" w:type="dxa"/>
            <w:tcBorders>
              <w:top w:val="single" w:sz="4" w:space="0" w:color="auto"/>
              <w:left w:val="single" w:sz="4" w:space="0" w:color="auto"/>
              <w:right w:val="single" w:sz="4" w:space="0" w:color="auto"/>
            </w:tcBorders>
            <w:shd w:val="clear" w:color="auto" w:fill="FFFFFF"/>
            <w:vAlign w:val="bottom"/>
          </w:tcPr>
          <w:p w:rsidR="00DD7B49" w:rsidRPr="00DD7B49" w:rsidRDefault="00DD7B49" w:rsidP="00DD7B49">
            <w:pPr>
              <w:spacing w:line="240" w:lineRule="auto"/>
              <w:rPr>
                <w:rFonts w:ascii="Times New Roman" w:hAnsi="Times New Roman" w:cs="Times New Roman"/>
                <w:lang w:bidi="uk-UA"/>
              </w:rPr>
            </w:pPr>
            <w:r w:rsidRPr="00DD7B49">
              <w:rPr>
                <w:rFonts w:ascii="Times New Roman" w:hAnsi="Times New Roman" w:cs="Times New Roman"/>
                <w:lang w:bidi="uk-UA"/>
              </w:rPr>
              <w:t>Обсяги скидання очищених і недостатньо очищених зворотних вод у водні об’єкти</w:t>
            </w:r>
          </w:p>
        </w:tc>
      </w:tr>
      <w:tr w:rsidR="00DD7B49" w:rsidRPr="00DD7B49" w:rsidTr="00DD7B49">
        <w:trPr>
          <w:trHeight w:hRule="exact" w:val="346"/>
        </w:trPr>
        <w:tc>
          <w:tcPr>
            <w:tcW w:w="9933" w:type="dxa"/>
            <w:gridSpan w:val="2"/>
            <w:tcBorders>
              <w:top w:val="single" w:sz="4" w:space="0" w:color="auto"/>
              <w:left w:val="single" w:sz="4" w:space="0" w:color="auto"/>
              <w:right w:val="single" w:sz="4" w:space="0" w:color="auto"/>
            </w:tcBorders>
            <w:shd w:val="clear" w:color="auto" w:fill="FFFFFF"/>
            <w:vAlign w:val="bottom"/>
          </w:tcPr>
          <w:p w:rsidR="00DD7B49" w:rsidRPr="00DD7B49" w:rsidRDefault="00DD7B49" w:rsidP="00DD7B49">
            <w:pPr>
              <w:pStyle w:val="a8"/>
              <w:spacing w:line="240" w:lineRule="auto"/>
              <w:ind w:left="0" w:firstLine="567"/>
              <w:jc w:val="center"/>
              <w:rPr>
                <w:rFonts w:ascii="Times New Roman" w:hAnsi="Times New Roman" w:cs="Times New Roman"/>
                <w:lang w:bidi="uk-UA"/>
              </w:rPr>
            </w:pPr>
            <w:r w:rsidRPr="00DD7B49">
              <w:rPr>
                <w:rFonts w:ascii="Times New Roman" w:hAnsi="Times New Roman" w:cs="Times New Roman"/>
                <w:lang w:bidi="uk-UA"/>
              </w:rPr>
              <w:t>Здоров’я</w:t>
            </w:r>
          </w:p>
        </w:tc>
      </w:tr>
      <w:tr w:rsidR="00DD7B49" w:rsidRPr="00DD7B49" w:rsidTr="00DD7B49">
        <w:trPr>
          <w:trHeight w:hRule="exact" w:val="350"/>
        </w:trPr>
        <w:tc>
          <w:tcPr>
            <w:tcW w:w="773" w:type="dxa"/>
            <w:tcBorders>
              <w:top w:val="single" w:sz="4" w:space="0" w:color="auto"/>
              <w:left w:val="single" w:sz="4" w:space="0" w:color="auto"/>
            </w:tcBorders>
            <w:shd w:val="clear" w:color="auto" w:fill="FFFFFF"/>
          </w:tcPr>
          <w:p w:rsidR="00DD7B49" w:rsidRPr="00DD7B49" w:rsidRDefault="00DD7B49" w:rsidP="00DD7B49">
            <w:pPr>
              <w:spacing w:line="240" w:lineRule="auto"/>
              <w:jc w:val="center"/>
              <w:rPr>
                <w:rFonts w:ascii="Times New Roman" w:hAnsi="Times New Roman" w:cs="Times New Roman"/>
                <w:lang w:bidi="uk-UA"/>
              </w:rPr>
            </w:pPr>
            <w:r>
              <w:rPr>
                <w:rFonts w:ascii="Times New Roman" w:hAnsi="Times New Roman" w:cs="Times New Roman"/>
                <w:lang w:bidi="uk-UA"/>
              </w:rPr>
              <w:t>4</w:t>
            </w:r>
          </w:p>
        </w:tc>
        <w:tc>
          <w:tcPr>
            <w:tcW w:w="9160" w:type="dxa"/>
            <w:tcBorders>
              <w:top w:val="single" w:sz="4" w:space="0" w:color="auto"/>
              <w:left w:val="single" w:sz="4" w:space="0" w:color="auto"/>
              <w:right w:val="single" w:sz="4" w:space="0" w:color="auto"/>
            </w:tcBorders>
            <w:shd w:val="clear" w:color="auto" w:fill="FFFFFF"/>
          </w:tcPr>
          <w:p w:rsidR="00DD7B49" w:rsidRPr="00DD7B49" w:rsidRDefault="00DD7B49" w:rsidP="00DD7B49">
            <w:pPr>
              <w:pStyle w:val="a8"/>
              <w:spacing w:line="240" w:lineRule="auto"/>
              <w:ind w:firstLine="567"/>
              <w:jc w:val="center"/>
              <w:rPr>
                <w:rFonts w:ascii="Times New Roman" w:hAnsi="Times New Roman" w:cs="Times New Roman"/>
                <w:lang w:bidi="uk-UA"/>
              </w:rPr>
            </w:pPr>
            <w:r w:rsidRPr="00DD7B49">
              <w:rPr>
                <w:rFonts w:ascii="Times New Roman" w:hAnsi="Times New Roman" w:cs="Times New Roman"/>
                <w:lang w:bidi="uk-UA"/>
              </w:rPr>
              <w:t xml:space="preserve">Природний приріст, скорочення (-) ос </w:t>
            </w:r>
            <w:proofErr w:type="spellStart"/>
            <w:r w:rsidRPr="00DD7B49">
              <w:rPr>
                <w:rFonts w:ascii="Times New Roman" w:hAnsi="Times New Roman" w:cs="Times New Roman"/>
                <w:lang w:bidi="uk-UA"/>
              </w:rPr>
              <w:t>іб</w:t>
            </w:r>
            <w:proofErr w:type="spellEnd"/>
          </w:p>
        </w:tc>
      </w:tr>
      <w:tr w:rsidR="00DD7B49" w:rsidRPr="00DD7B49" w:rsidTr="00DD7B49">
        <w:trPr>
          <w:trHeight w:hRule="exact" w:val="346"/>
        </w:trPr>
        <w:tc>
          <w:tcPr>
            <w:tcW w:w="773" w:type="dxa"/>
            <w:tcBorders>
              <w:top w:val="single" w:sz="4" w:space="0" w:color="auto"/>
              <w:left w:val="single" w:sz="4" w:space="0" w:color="auto"/>
              <w:bottom w:val="single" w:sz="4" w:space="0" w:color="auto"/>
            </w:tcBorders>
            <w:shd w:val="clear" w:color="auto" w:fill="FFFFFF"/>
            <w:vAlign w:val="bottom"/>
          </w:tcPr>
          <w:p w:rsidR="00DD7B49" w:rsidRPr="00DD7B49" w:rsidRDefault="00DD7B49" w:rsidP="00DD7B49">
            <w:pPr>
              <w:spacing w:line="240" w:lineRule="auto"/>
              <w:jc w:val="center"/>
              <w:rPr>
                <w:rFonts w:ascii="Times New Roman" w:hAnsi="Times New Roman" w:cs="Times New Roman"/>
                <w:lang w:bidi="uk-UA"/>
              </w:rPr>
            </w:pPr>
            <w:r>
              <w:rPr>
                <w:rFonts w:ascii="Times New Roman" w:hAnsi="Times New Roman" w:cs="Times New Roman"/>
                <w:lang w:bidi="uk-UA"/>
              </w:rPr>
              <w:t>5</w:t>
            </w:r>
          </w:p>
        </w:tc>
        <w:tc>
          <w:tcPr>
            <w:tcW w:w="9160" w:type="dxa"/>
            <w:tcBorders>
              <w:top w:val="single" w:sz="4" w:space="0" w:color="auto"/>
              <w:left w:val="single" w:sz="4" w:space="0" w:color="auto"/>
              <w:bottom w:val="single" w:sz="4" w:space="0" w:color="auto"/>
              <w:right w:val="single" w:sz="4" w:space="0" w:color="auto"/>
            </w:tcBorders>
            <w:shd w:val="clear" w:color="auto" w:fill="FFFFFF"/>
            <w:vAlign w:val="bottom"/>
          </w:tcPr>
          <w:p w:rsidR="00DD7B49" w:rsidRPr="00DD7B49" w:rsidRDefault="00DD7B49" w:rsidP="00DD7B49">
            <w:pPr>
              <w:pStyle w:val="a8"/>
              <w:spacing w:line="240" w:lineRule="auto"/>
              <w:ind w:firstLine="567"/>
              <w:jc w:val="center"/>
              <w:rPr>
                <w:rFonts w:ascii="Times New Roman" w:hAnsi="Times New Roman" w:cs="Times New Roman"/>
                <w:lang w:bidi="uk-UA"/>
              </w:rPr>
            </w:pPr>
            <w:r w:rsidRPr="00DD7B49">
              <w:rPr>
                <w:rFonts w:ascii="Times New Roman" w:hAnsi="Times New Roman" w:cs="Times New Roman"/>
                <w:lang w:bidi="uk-UA"/>
              </w:rPr>
              <w:t>Рівень захворюваності населення області</w:t>
            </w:r>
          </w:p>
        </w:tc>
      </w:tr>
    </w:tbl>
    <w:p w:rsidR="00DD7B49" w:rsidRDefault="00DD7B49" w:rsidP="00DD7B49">
      <w:pPr>
        <w:pStyle w:val="a8"/>
        <w:spacing w:after="0" w:line="240" w:lineRule="auto"/>
        <w:ind w:left="0" w:firstLine="567"/>
        <w:jc w:val="center"/>
        <w:rPr>
          <w:rFonts w:ascii="Times New Roman" w:hAnsi="Times New Roman" w:cs="Times New Roman"/>
          <w:sz w:val="28"/>
        </w:rPr>
      </w:pPr>
    </w:p>
    <w:p w:rsidR="00CC1698" w:rsidRDefault="00CC1698" w:rsidP="00DD7B49">
      <w:pPr>
        <w:pStyle w:val="a8"/>
        <w:spacing w:after="0" w:line="240" w:lineRule="auto"/>
        <w:ind w:left="0" w:firstLine="567"/>
        <w:jc w:val="both"/>
        <w:rPr>
          <w:rFonts w:ascii="Times New Roman" w:hAnsi="Times New Roman" w:cs="Times New Roman"/>
          <w:b/>
          <w:sz w:val="28"/>
        </w:rPr>
      </w:pPr>
    </w:p>
    <w:p w:rsidR="00CC1698" w:rsidRDefault="00CC1698" w:rsidP="00DD7B49">
      <w:pPr>
        <w:pStyle w:val="a8"/>
        <w:spacing w:after="0" w:line="240" w:lineRule="auto"/>
        <w:ind w:left="0" w:firstLine="567"/>
        <w:jc w:val="both"/>
        <w:rPr>
          <w:rFonts w:ascii="Times New Roman" w:hAnsi="Times New Roman" w:cs="Times New Roman"/>
          <w:b/>
          <w:sz w:val="28"/>
        </w:rPr>
      </w:pPr>
    </w:p>
    <w:p w:rsidR="00CC1698" w:rsidRDefault="00CC1698" w:rsidP="00DD7B49">
      <w:pPr>
        <w:pStyle w:val="a8"/>
        <w:spacing w:after="0" w:line="240" w:lineRule="auto"/>
        <w:ind w:left="0" w:firstLine="567"/>
        <w:jc w:val="both"/>
        <w:rPr>
          <w:rFonts w:ascii="Times New Roman" w:hAnsi="Times New Roman" w:cs="Times New Roman"/>
          <w:b/>
          <w:sz w:val="28"/>
        </w:rPr>
      </w:pPr>
    </w:p>
    <w:p w:rsidR="00CC1698" w:rsidRDefault="00CC1698" w:rsidP="00DD7B49">
      <w:pPr>
        <w:pStyle w:val="a8"/>
        <w:spacing w:after="0" w:line="240" w:lineRule="auto"/>
        <w:ind w:left="0" w:firstLine="567"/>
        <w:jc w:val="both"/>
        <w:rPr>
          <w:rFonts w:ascii="Times New Roman" w:hAnsi="Times New Roman" w:cs="Times New Roman"/>
          <w:b/>
          <w:sz w:val="28"/>
        </w:rPr>
      </w:pPr>
    </w:p>
    <w:p w:rsidR="00DD7B49" w:rsidRDefault="00DD7B49" w:rsidP="00DD7B49">
      <w:pPr>
        <w:pStyle w:val="a8"/>
        <w:spacing w:after="0" w:line="240" w:lineRule="auto"/>
        <w:ind w:left="0" w:firstLine="567"/>
        <w:jc w:val="both"/>
        <w:rPr>
          <w:rFonts w:ascii="Times New Roman" w:hAnsi="Times New Roman" w:cs="Times New Roman"/>
          <w:b/>
          <w:sz w:val="28"/>
        </w:rPr>
      </w:pPr>
      <w:r w:rsidRPr="00DD7B49">
        <w:rPr>
          <w:rFonts w:ascii="Times New Roman" w:hAnsi="Times New Roman" w:cs="Times New Roman"/>
          <w:b/>
          <w:sz w:val="28"/>
        </w:rPr>
        <w:lastRenderedPageBreak/>
        <w:t>10.</w:t>
      </w:r>
      <w:r w:rsidRPr="00DD7B49">
        <w:rPr>
          <w:rFonts w:ascii="Times New Roman" w:hAnsi="Times New Roman" w:cs="Times New Roman"/>
          <w:b/>
          <w:sz w:val="28"/>
        </w:rPr>
        <w:tab/>
        <w:t>Опис ймовірних транскордонних наслідків для довкілля, у тому числі для здоров’я населення (за наявності).</w:t>
      </w:r>
    </w:p>
    <w:p w:rsidR="00DD7B49" w:rsidRDefault="00DD7B49" w:rsidP="00DD7B49">
      <w:pPr>
        <w:pStyle w:val="a8"/>
        <w:spacing w:after="0" w:line="240" w:lineRule="auto"/>
        <w:ind w:left="0" w:firstLine="567"/>
        <w:jc w:val="both"/>
        <w:rPr>
          <w:rFonts w:ascii="Times New Roman" w:hAnsi="Times New Roman" w:cs="Times New Roman"/>
          <w:sz w:val="28"/>
        </w:rPr>
      </w:pPr>
      <w:r w:rsidRPr="00CF1F3F">
        <w:rPr>
          <w:rFonts w:ascii="Times New Roman" w:hAnsi="Times New Roman" w:cs="Times New Roman"/>
          <w:sz w:val="28"/>
        </w:rPr>
        <w:t>На теперішній час Луганська область знаходиться в зоні проведення операції Об’єднаних сил, а частина її території (включаючи територію, по якій проходять кордони з сусідньою країною) тимчасово не підконтрольна українській владі. Процеси, які відбуваються на цій території, на даний момент є неконтрольованими та мають наслідки, які важко оцінити.</w:t>
      </w:r>
    </w:p>
    <w:p w:rsidR="00DD7B49" w:rsidRDefault="00DD7B49" w:rsidP="00DD7B49">
      <w:pPr>
        <w:pStyle w:val="a8"/>
        <w:spacing w:after="0" w:line="240" w:lineRule="auto"/>
        <w:ind w:left="0" w:firstLine="567"/>
        <w:jc w:val="both"/>
        <w:rPr>
          <w:rFonts w:ascii="Times New Roman" w:hAnsi="Times New Roman" w:cs="Times New Roman"/>
          <w:sz w:val="28"/>
        </w:rPr>
      </w:pPr>
    </w:p>
    <w:p w:rsidR="00DD7B49" w:rsidRPr="00DD7B49" w:rsidRDefault="00DD7B49" w:rsidP="00DD7B49">
      <w:pPr>
        <w:pStyle w:val="a8"/>
        <w:spacing w:after="0" w:line="240" w:lineRule="auto"/>
        <w:ind w:left="0" w:firstLine="567"/>
        <w:jc w:val="both"/>
        <w:rPr>
          <w:rFonts w:ascii="Times New Roman" w:hAnsi="Times New Roman" w:cs="Times New Roman"/>
          <w:b/>
          <w:sz w:val="28"/>
        </w:rPr>
      </w:pPr>
      <w:r w:rsidRPr="00DD7B49">
        <w:rPr>
          <w:rFonts w:ascii="Times New Roman" w:hAnsi="Times New Roman" w:cs="Times New Roman"/>
          <w:b/>
          <w:sz w:val="28"/>
        </w:rPr>
        <w:t>11.</w:t>
      </w:r>
      <w:r w:rsidRPr="00DD7B49">
        <w:rPr>
          <w:rFonts w:ascii="Times New Roman" w:hAnsi="Times New Roman" w:cs="Times New Roman"/>
          <w:b/>
          <w:sz w:val="28"/>
        </w:rPr>
        <w:tab/>
        <w:t>Резюме нетехнічного характеру інформації, передбаченої пунктами 1-10 цієї частини, розраховане на широку аудиторію.</w:t>
      </w:r>
    </w:p>
    <w:p w:rsidR="00DD7B49" w:rsidRPr="00DD7B49" w:rsidRDefault="00DD7B49" w:rsidP="00DD7B49">
      <w:pPr>
        <w:pStyle w:val="a8"/>
        <w:spacing w:after="0" w:line="240" w:lineRule="auto"/>
        <w:ind w:firstLine="567"/>
        <w:jc w:val="both"/>
        <w:rPr>
          <w:rFonts w:ascii="Times New Roman" w:hAnsi="Times New Roman" w:cs="Times New Roman"/>
          <w:b/>
          <w:sz w:val="28"/>
        </w:rPr>
      </w:pP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Регіональна програма «</w:t>
      </w:r>
      <w:r>
        <w:rPr>
          <w:rFonts w:ascii="Times New Roman" w:hAnsi="Times New Roman" w:cs="Times New Roman"/>
          <w:sz w:val="28"/>
        </w:rPr>
        <w:t>Питна вода Луганщини» на 2021-2024 роки</w:t>
      </w:r>
      <w:r w:rsidRPr="00DD7B49">
        <w:rPr>
          <w:rFonts w:ascii="Times New Roman" w:hAnsi="Times New Roman" w:cs="Times New Roman"/>
          <w:sz w:val="28"/>
        </w:rPr>
        <w:t xml:space="preserve"> визначає сукупність взаємоузгоджених завдань і заходів, що спрямовані на забезпечення відновлення надійної роботи системи централізованого водопостачання та водовідведення </w:t>
      </w:r>
      <w:r w:rsidR="00FA512F">
        <w:rPr>
          <w:rFonts w:ascii="Times New Roman" w:hAnsi="Times New Roman" w:cs="Times New Roman"/>
          <w:sz w:val="28"/>
        </w:rPr>
        <w:t>Лугансь</w:t>
      </w:r>
      <w:r w:rsidRPr="00DD7B49">
        <w:rPr>
          <w:rFonts w:ascii="Times New Roman" w:hAnsi="Times New Roman" w:cs="Times New Roman"/>
          <w:sz w:val="28"/>
        </w:rPr>
        <w:t>кої області.</w:t>
      </w:r>
    </w:p>
    <w:p w:rsidR="00DD7B49" w:rsidRPr="00DD7B49" w:rsidRDefault="00FA512F" w:rsidP="00DD7B49">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С</w:t>
      </w:r>
      <w:r w:rsidR="00DD7B49" w:rsidRPr="00DD7B49">
        <w:rPr>
          <w:rFonts w:ascii="Times New Roman" w:hAnsi="Times New Roman" w:cs="Times New Roman"/>
          <w:sz w:val="28"/>
        </w:rPr>
        <w:t>учасн</w:t>
      </w:r>
      <w:r>
        <w:rPr>
          <w:rFonts w:ascii="Times New Roman" w:hAnsi="Times New Roman" w:cs="Times New Roman"/>
          <w:sz w:val="28"/>
        </w:rPr>
        <w:t>ий</w:t>
      </w:r>
      <w:r w:rsidR="00DD7B49" w:rsidRPr="00DD7B49">
        <w:rPr>
          <w:rFonts w:ascii="Times New Roman" w:hAnsi="Times New Roman" w:cs="Times New Roman"/>
          <w:sz w:val="28"/>
        </w:rPr>
        <w:t xml:space="preserve"> стан водопровідно-каналізаційного господарства </w:t>
      </w:r>
      <w:r>
        <w:rPr>
          <w:rFonts w:ascii="Times New Roman" w:hAnsi="Times New Roman" w:cs="Times New Roman"/>
          <w:sz w:val="28"/>
        </w:rPr>
        <w:t>області характеризується</w:t>
      </w:r>
      <w:r w:rsidR="00DD7B49" w:rsidRPr="00DD7B49">
        <w:rPr>
          <w:rFonts w:ascii="Times New Roman" w:hAnsi="Times New Roman" w:cs="Times New Roman"/>
          <w:sz w:val="28"/>
        </w:rPr>
        <w:t xml:space="preserve"> </w:t>
      </w:r>
      <w:r>
        <w:rPr>
          <w:rFonts w:ascii="Times New Roman" w:hAnsi="Times New Roman" w:cs="Times New Roman"/>
          <w:sz w:val="28"/>
        </w:rPr>
        <w:t>фізично та морально застарілими</w:t>
      </w:r>
      <w:r w:rsidR="00DD7B49" w:rsidRPr="00DD7B49">
        <w:rPr>
          <w:rFonts w:ascii="Times New Roman" w:hAnsi="Times New Roman" w:cs="Times New Roman"/>
          <w:sz w:val="28"/>
        </w:rPr>
        <w:t xml:space="preserve"> </w:t>
      </w:r>
      <w:r w:rsidRPr="00DD7B49">
        <w:rPr>
          <w:rFonts w:ascii="Times New Roman" w:hAnsi="Times New Roman" w:cs="Times New Roman"/>
          <w:sz w:val="28"/>
        </w:rPr>
        <w:t>технологічн</w:t>
      </w:r>
      <w:r>
        <w:rPr>
          <w:rFonts w:ascii="Times New Roman" w:hAnsi="Times New Roman" w:cs="Times New Roman"/>
          <w:sz w:val="28"/>
        </w:rPr>
        <w:t>ими</w:t>
      </w:r>
      <w:r w:rsidR="00DD7B49" w:rsidRPr="00DD7B49">
        <w:rPr>
          <w:rFonts w:ascii="Times New Roman" w:hAnsi="Times New Roman" w:cs="Times New Roman"/>
          <w:sz w:val="28"/>
        </w:rPr>
        <w:t xml:space="preserve"> споруд</w:t>
      </w:r>
      <w:r>
        <w:rPr>
          <w:rFonts w:ascii="Times New Roman" w:hAnsi="Times New Roman" w:cs="Times New Roman"/>
          <w:sz w:val="28"/>
        </w:rPr>
        <w:t>ами</w:t>
      </w:r>
      <w:r w:rsidR="00DD7B49" w:rsidRPr="00DD7B49">
        <w:rPr>
          <w:rFonts w:ascii="Times New Roman" w:hAnsi="Times New Roman" w:cs="Times New Roman"/>
          <w:sz w:val="28"/>
        </w:rPr>
        <w:t xml:space="preserve"> і обладнання</w:t>
      </w:r>
      <w:r>
        <w:rPr>
          <w:rFonts w:ascii="Times New Roman" w:hAnsi="Times New Roman" w:cs="Times New Roman"/>
          <w:sz w:val="28"/>
        </w:rPr>
        <w:t>м</w:t>
      </w:r>
      <w:r w:rsidR="00DD7B49" w:rsidRPr="00DD7B49">
        <w:rPr>
          <w:rFonts w:ascii="Times New Roman" w:hAnsi="Times New Roman" w:cs="Times New Roman"/>
          <w:sz w:val="28"/>
        </w:rPr>
        <w:t>, відсутніст</w:t>
      </w:r>
      <w:r>
        <w:rPr>
          <w:rFonts w:ascii="Times New Roman" w:hAnsi="Times New Roman" w:cs="Times New Roman"/>
          <w:sz w:val="28"/>
        </w:rPr>
        <w:t>ю</w:t>
      </w:r>
      <w:r w:rsidR="00DD7B49" w:rsidRPr="00DD7B49">
        <w:rPr>
          <w:rFonts w:ascii="Times New Roman" w:hAnsi="Times New Roman" w:cs="Times New Roman"/>
          <w:sz w:val="28"/>
        </w:rPr>
        <w:t xml:space="preserve"> інноваційних рішень при </w:t>
      </w:r>
      <w:r>
        <w:rPr>
          <w:rFonts w:ascii="Times New Roman" w:hAnsi="Times New Roman" w:cs="Times New Roman"/>
          <w:sz w:val="28"/>
        </w:rPr>
        <w:t xml:space="preserve">проведенні </w:t>
      </w:r>
      <w:r w:rsidR="00DD7B49" w:rsidRPr="00DD7B49">
        <w:rPr>
          <w:rFonts w:ascii="Times New Roman" w:hAnsi="Times New Roman" w:cs="Times New Roman"/>
          <w:sz w:val="28"/>
        </w:rPr>
        <w:t>реконструкці</w:t>
      </w:r>
      <w:r>
        <w:rPr>
          <w:rFonts w:ascii="Times New Roman" w:hAnsi="Times New Roman" w:cs="Times New Roman"/>
          <w:sz w:val="28"/>
        </w:rPr>
        <w:t>й</w:t>
      </w:r>
      <w:r w:rsidR="00DD7B49" w:rsidRPr="00DD7B49">
        <w:rPr>
          <w:rFonts w:ascii="Times New Roman" w:hAnsi="Times New Roman" w:cs="Times New Roman"/>
          <w:sz w:val="28"/>
        </w:rPr>
        <w:t xml:space="preserve"> систем водопостачання і водовідведення. Існуючі технології очищення води, споруди для їх реалізації, насосне обладнання, регулююча та запірна арматура тощо, суттєво не оновлювалися вже більше 30-40 років, тому їх експлуатація призводить до</w:t>
      </w:r>
      <w:r>
        <w:rPr>
          <w:rFonts w:ascii="Times New Roman" w:hAnsi="Times New Roman" w:cs="Times New Roman"/>
          <w:sz w:val="28"/>
        </w:rPr>
        <w:t xml:space="preserve"> </w:t>
      </w:r>
      <w:r w:rsidR="00DD7B49" w:rsidRPr="00DD7B49">
        <w:rPr>
          <w:rFonts w:ascii="Times New Roman" w:hAnsi="Times New Roman" w:cs="Times New Roman"/>
          <w:sz w:val="28"/>
        </w:rPr>
        <w:t>нераціонального використання матеріальних, енергетичних та інших ресурсів</w:t>
      </w:r>
      <w:r>
        <w:rPr>
          <w:rFonts w:ascii="Times New Roman" w:hAnsi="Times New Roman" w:cs="Times New Roman"/>
          <w:sz w:val="28"/>
        </w:rPr>
        <w:t>, з</w:t>
      </w:r>
      <w:r w:rsidR="00DD7B49" w:rsidRPr="00DD7B49">
        <w:rPr>
          <w:rFonts w:ascii="Times New Roman" w:hAnsi="Times New Roman" w:cs="Times New Roman"/>
          <w:sz w:val="28"/>
        </w:rPr>
        <w:t xml:space="preserve">більшення собівартості послуг у результаті низької </w:t>
      </w:r>
      <w:proofErr w:type="spellStart"/>
      <w:r w:rsidR="00DD7B49" w:rsidRPr="00DD7B49">
        <w:rPr>
          <w:rFonts w:ascii="Times New Roman" w:hAnsi="Times New Roman" w:cs="Times New Roman"/>
          <w:sz w:val="28"/>
        </w:rPr>
        <w:t>енерго-</w:t>
      </w:r>
      <w:proofErr w:type="spellEnd"/>
      <w:r w:rsidR="00DD7B49" w:rsidRPr="00DD7B49">
        <w:rPr>
          <w:rFonts w:ascii="Times New Roman" w:hAnsi="Times New Roman" w:cs="Times New Roman"/>
          <w:sz w:val="28"/>
        </w:rPr>
        <w:t xml:space="preserve"> та </w:t>
      </w:r>
      <w:proofErr w:type="spellStart"/>
      <w:r w:rsidR="00DD7B49" w:rsidRPr="00DD7B49">
        <w:rPr>
          <w:rFonts w:ascii="Times New Roman" w:hAnsi="Times New Roman" w:cs="Times New Roman"/>
          <w:sz w:val="28"/>
        </w:rPr>
        <w:t>ресурсоефективності</w:t>
      </w:r>
      <w:proofErr w:type="spellEnd"/>
      <w:r>
        <w:rPr>
          <w:rFonts w:ascii="Times New Roman" w:hAnsi="Times New Roman" w:cs="Times New Roman"/>
          <w:sz w:val="28"/>
        </w:rPr>
        <w:t>,</w:t>
      </w:r>
      <w:r w:rsidR="00DD7B49" w:rsidRPr="00DD7B49">
        <w:rPr>
          <w:rFonts w:ascii="Times New Roman" w:hAnsi="Times New Roman" w:cs="Times New Roman"/>
          <w:sz w:val="28"/>
        </w:rPr>
        <w:t xml:space="preserve"> скорочує можливості розвитку систем. Діяльність підприємств водопровідно-каналізаційного господарства є збитков</w:t>
      </w:r>
      <w:r>
        <w:rPr>
          <w:rFonts w:ascii="Times New Roman" w:hAnsi="Times New Roman" w:cs="Times New Roman"/>
          <w:sz w:val="28"/>
        </w:rPr>
        <w:t>ою</w:t>
      </w:r>
      <w:r w:rsidR="00DD7B49" w:rsidRPr="00DD7B49">
        <w:rPr>
          <w:rFonts w:ascii="Times New Roman" w:hAnsi="Times New Roman" w:cs="Times New Roman"/>
          <w:sz w:val="28"/>
        </w:rPr>
        <w:t>. Діючи тарифи не покривають собівартості послуг, складові тарифу мають тенденцію до безперервного збільшення.</w:t>
      </w: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Як наслідок, кошти спрямовуються не на розвиток і відновлення систем, а на усунення аварійних ситуацій. Незмінність існуючого положення призводить до подальшого руйнування систем водопостачання та водовідведення, до виникнення надзвичайних ситуацій в регіоні.</w:t>
      </w: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Сучасний стан водопровідно-каналізаційного господарства області фактично наблизився до критичного.</w:t>
      </w:r>
    </w:p>
    <w:p w:rsid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 xml:space="preserve">З метою забезпечення цілісності системи планування регіонального розвитку </w:t>
      </w:r>
      <w:proofErr w:type="spellStart"/>
      <w:r w:rsidRPr="00DD7B49">
        <w:rPr>
          <w:rFonts w:ascii="Times New Roman" w:hAnsi="Times New Roman" w:cs="Times New Roman"/>
          <w:sz w:val="28"/>
        </w:rPr>
        <w:t>проєкт</w:t>
      </w:r>
      <w:proofErr w:type="spellEnd"/>
      <w:r w:rsidRPr="00DD7B49">
        <w:rPr>
          <w:rFonts w:ascii="Times New Roman" w:hAnsi="Times New Roman" w:cs="Times New Roman"/>
          <w:sz w:val="28"/>
        </w:rPr>
        <w:t xml:space="preserve"> Програми враховує положення програмних документів, які діють на державному та регіональному рівнях та </w:t>
      </w:r>
      <w:proofErr w:type="spellStart"/>
      <w:r w:rsidRPr="00DD7B49">
        <w:rPr>
          <w:rFonts w:ascii="Times New Roman" w:hAnsi="Times New Roman" w:cs="Times New Roman"/>
          <w:sz w:val="28"/>
        </w:rPr>
        <w:t>екосистемний</w:t>
      </w:r>
      <w:proofErr w:type="spellEnd"/>
      <w:r w:rsidRPr="00DD7B49">
        <w:rPr>
          <w:rFonts w:ascii="Times New Roman" w:hAnsi="Times New Roman" w:cs="Times New Roman"/>
          <w:sz w:val="28"/>
        </w:rPr>
        <w:t xml:space="preserve"> підхід та удосконалення системи інтегрованого екологічного управління та врахування екологічної складової під час розроблення та затвердження документів державного планування, які визначені, зокрема:</w:t>
      </w:r>
    </w:p>
    <w:p w:rsidR="00FA512F" w:rsidRPr="00FA512F" w:rsidRDefault="00FA512F" w:rsidP="00FA512F">
      <w:pPr>
        <w:pStyle w:val="a8"/>
        <w:spacing w:after="0" w:line="240" w:lineRule="auto"/>
        <w:ind w:left="0" w:firstLine="567"/>
        <w:jc w:val="both"/>
        <w:rPr>
          <w:rFonts w:ascii="Times New Roman" w:hAnsi="Times New Roman" w:cs="Times New Roman"/>
          <w:sz w:val="28"/>
        </w:rPr>
      </w:pPr>
      <w:r w:rsidRPr="00FA512F">
        <w:rPr>
          <w:rFonts w:ascii="Times New Roman" w:hAnsi="Times New Roman" w:cs="Times New Roman"/>
          <w:sz w:val="28"/>
        </w:rPr>
        <w:t>-</w:t>
      </w:r>
      <w:r w:rsidRPr="00FA512F">
        <w:rPr>
          <w:rFonts w:ascii="Times New Roman" w:hAnsi="Times New Roman" w:cs="Times New Roman"/>
          <w:sz w:val="28"/>
        </w:rPr>
        <w:tab/>
        <w:t>Державно</w:t>
      </w:r>
      <w:r>
        <w:rPr>
          <w:rFonts w:ascii="Times New Roman" w:hAnsi="Times New Roman" w:cs="Times New Roman"/>
          <w:sz w:val="28"/>
        </w:rPr>
        <w:t>ю</w:t>
      </w:r>
      <w:r w:rsidRPr="00FA512F">
        <w:rPr>
          <w:rFonts w:ascii="Times New Roman" w:hAnsi="Times New Roman" w:cs="Times New Roman"/>
          <w:sz w:val="28"/>
        </w:rPr>
        <w:t xml:space="preserve"> стратегі</w:t>
      </w:r>
      <w:r>
        <w:rPr>
          <w:rFonts w:ascii="Times New Roman" w:hAnsi="Times New Roman" w:cs="Times New Roman"/>
          <w:sz w:val="28"/>
        </w:rPr>
        <w:t>єю</w:t>
      </w:r>
      <w:r w:rsidRPr="00FA512F">
        <w:rPr>
          <w:rFonts w:ascii="Times New Roman" w:hAnsi="Times New Roman" w:cs="Times New Roman"/>
          <w:sz w:val="28"/>
        </w:rPr>
        <w:t xml:space="preserve"> регіонального розвитку на 2021—2027 роки, затвердженої постановою Кабінету Міністрів України від 05 серпня 2020 року № 695;</w:t>
      </w:r>
    </w:p>
    <w:p w:rsidR="00FA512F" w:rsidRPr="00FA512F" w:rsidRDefault="00FA512F" w:rsidP="00FA512F">
      <w:pPr>
        <w:pStyle w:val="a8"/>
        <w:spacing w:after="0" w:line="240" w:lineRule="auto"/>
        <w:ind w:left="0" w:firstLine="567"/>
        <w:jc w:val="both"/>
        <w:rPr>
          <w:rFonts w:ascii="Times New Roman" w:hAnsi="Times New Roman" w:cs="Times New Roman"/>
          <w:sz w:val="28"/>
        </w:rPr>
      </w:pPr>
      <w:r w:rsidRPr="00FA512F">
        <w:rPr>
          <w:rFonts w:ascii="Times New Roman" w:hAnsi="Times New Roman" w:cs="Times New Roman"/>
          <w:sz w:val="28"/>
        </w:rPr>
        <w:lastRenderedPageBreak/>
        <w:t>-</w:t>
      </w:r>
      <w:r w:rsidRPr="00FA512F">
        <w:rPr>
          <w:rFonts w:ascii="Times New Roman" w:hAnsi="Times New Roman" w:cs="Times New Roman"/>
          <w:sz w:val="28"/>
        </w:rPr>
        <w:tab/>
        <w:t>Стратегі</w:t>
      </w:r>
      <w:r>
        <w:rPr>
          <w:rFonts w:ascii="Times New Roman" w:hAnsi="Times New Roman" w:cs="Times New Roman"/>
          <w:sz w:val="28"/>
        </w:rPr>
        <w:t>єю</w:t>
      </w:r>
      <w:r w:rsidRPr="00FA512F">
        <w:rPr>
          <w:rFonts w:ascii="Times New Roman" w:hAnsi="Times New Roman" w:cs="Times New Roman"/>
          <w:sz w:val="28"/>
        </w:rPr>
        <w:t xml:space="preserve"> розвитку Луганської області на 2021-2027 роки, затвердженої розпорядженням голови облдержадміністрації – керівника обласної військово-цивільної адміністрації від 25.03.2020 № 246 (зі змінами);</w:t>
      </w:r>
    </w:p>
    <w:p w:rsidR="00FA512F" w:rsidRDefault="00FA512F" w:rsidP="00FA512F">
      <w:pPr>
        <w:pStyle w:val="a8"/>
        <w:spacing w:after="0" w:line="240" w:lineRule="auto"/>
        <w:ind w:left="0" w:firstLine="567"/>
        <w:jc w:val="both"/>
        <w:rPr>
          <w:rFonts w:ascii="Times New Roman" w:hAnsi="Times New Roman" w:cs="Times New Roman"/>
          <w:sz w:val="28"/>
        </w:rPr>
      </w:pPr>
      <w:r w:rsidRPr="00FA512F">
        <w:rPr>
          <w:rFonts w:ascii="Times New Roman" w:hAnsi="Times New Roman" w:cs="Times New Roman"/>
          <w:sz w:val="28"/>
        </w:rPr>
        <w:t>-</w:t>
      </w:r>
      <w:r w:rsidRPr="00FA512F">
        <w:rPr>
          <w:rFonts w:ascii="Times New Roman" w:hAnsi="Times New Roman" w:cs="Times New Roman"/>
          <w:sz w:val="28"/>
        </w:rPr>
        <w:tab/>
        <w:t>План</w:t>
      </w:r>
      <w:r w:rsidR="001556D5">
        <w:rPr>
          <w:rFonts w:ascii="Times New Roman" w:hAnsi="Times New Roman" w:cs="Times New Roman"/>
          <w:sz w:val="28"/>
        </w:rPr>
        <w:t>ом</w:t>
      </w:r>
      <w:r w:rsidRPr="00FA512F">
        <w:rPr>
          <w:rFonts w:ascii="Times New Roman" w:hAnsi="Times New Roman" w:cs="Times New Roman"/>
          <w:sz w:val="28"/>
        </w:rPr>
        <w:t xml:space="preserve"> заходів на 2021‒2023 роки з реалізації Стратегії розвитку Луганської області на 2021–2027 роки, затвердженого розпорядженням голови облдержадміністрації – керівника обласної військово-цивільної адміністрації від 01.04.2020 № 262</w:t>
      </w:r>
      <w:r>
        <w:rPr>
          <w:rFonts w:ascii="Times New Roman" w:hAnsi="Times New Roman" w:cs="Times New Roman"/>
          <w:sz w:val="28"/>
        </w:rPr>
        <w:t>;</w:t>
      </w:r>
    </w:p>
    <w:p w:rsidR="00DD7B49" w:rsidRPr="00DD7B49" w:rsidRDefault="001556D5" w:rsidP="00DD7B49">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w:t>
      </w:r>
      <w:r w:rsidR="00DD7B49" w:rsidRPr="00DD7B49">
        <w:rPr>
          <w:rFonts w:ascii="Times New Roman" w:hAnsi="Times New Roman" w:cs="Times New Roman"/>
          <w:sz w:val="28"/>
        </w:rPr>
        <w:t>Закон</w:t>
      </w:r>
      <w:r w:rsidR="00FA512F">
        <w:rPr>
          <w:rFonts w:ascii="Times New Roman" w:hAnsi="Times New Roman" w:cs="Times New Roman"/>
          <w:sz w:val="28"/>
        </w:rPr>
        <w:t>ом</w:t>
      </w:r>
      <w:r w:rsidR="00DD7B49" w:rsidRPr="00DD7B49">
        <w:rPr>
          <w:rFonts w:ascii="Times New Roman" w:hAnsi="Times New Roman" w:cs="Times New Roman"/>
          <w:sz w:val="28"/>
        </w:rPr>
        <w:t xml:space="preserve"> України «Про питну воду та водопостачання»;</w:t>
      </w: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Реалізація Програми не має супроводжуватися появою нових негативних наслідків для довкілля. Разом з тим, реалізація багатьох оперативних завдань Програми має призвести до покращення екологічної ситуації в регіоні.</w:t>
      </w: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Затвердження Програми, зважаючи на комплексність рішень, що обумовлюється необхідністю збалансованого розвитку екологічної складової, а також наукові дослідження у цій галузі у короткостроковий період (1 -3 роки) буде мати незначний вплив на стан довкілля, який буде обумовлений впливом існуючих незмінних факторів.</w:t>
      </w:r>
    </w:p>
    <w:p w:rsidR="00DD7B49" w:rsidRPr="00DD7B49" w:rsidRDefault="00DD7B49" w:rsidP="00DD7B49">
      <w:pPr>
        <w:pStyle w:val="a8"/>
        <w:spacing w:after="0" w:line="240" w:lineRule="auto"/>
        <w:ind w:left="0" w:firstLine="567"/>
        <w:jc w:val="both"/>
        <w:rPr>
          <w:rFonts w:ascii="Times New Roman" w:hAnsi="Times New Roman" w:cs="Times New Roman"/>
          <w:sz w:val="28"/>
        </w:rPr>
      </w:pPr>
      <w:r w:rsidRPr="00DD7B49">
        <w:rPr>
          <w:rFonts w:ascii="Times New Roman" w:hAnsi="Times New Roman" w:cs="Times New Roman"/>
          <w:sz w:val="28"/>
        </w:rPr>
        <w:t>Реалізація положень Програми буде мати позитивний вплив на рівень здоров’я населення, тобто сприятиме зниженню рівня захворюваності населення, що є важливим індикатором регіонального розвитку на середньостроковий та довгостроковий період. У разі продовження розпочатої роботи вплив не буде відрізнятися від короткострокового.</w:t>
      </w:r>
    </w:p>
    <w:p w:rsidR="00DD7B49" w:rsidRDefault="00DD7B49" w:rsidP="00DD7B49">
      <w:pPr>
        <w:pStyle w:val="a8"/>
        <w:spacing w:after="0" w:line="240" w:lineRule="auto"/>
        <w:ind w:left="0" w:firstLine="567"/>
        <w:jc w:val="both"/>
        <w:rPr>
          <w:rFonts w:ascii="Times New Roman" w:hAnsi="Times New Roman" w:cs="Times New Roman"/>
          <w:sz w:val="28"/>
          <w:lang w:val="ru-RU"/>
        </w:rPr>
      </w:pPr>
      <w:r w:rsidRPr="00DD7B49">
        <w:rPr>
          <w:rFonts w:ascii="Times New Roman" w:hAnsi="Times New Roman" w:cs="Times New Roman"/>
          <w:sz w:val="28"/>
        </w:rPr>
        <w:t>У порівнянні з нульовою альтернативою вплив на довкілля оцінюється як незначний, оскільки як зазначалося вище буде обумовлений впливом існуючих незмінних факторів</w:t>
      </w:r>
      <w:r w:rsidR="007435A0">
        <w:rPr>
          <w:rFonts w:ascii="Times New Roman" w:hAnsi="Times New Roman" w:cs="Times New Roman"/>
          <w:sz w:val="28"/>
          <w:lang w:val="ru-RU"/>
        </w:rPr>
        <w:t>.</w:t>
      </w:r>
    </w:p>
    <w:p w:rsidR="006E3185" w:rsidRPr="005B1829" w:rsidRDefault="006E3185" w:rsidP="00DD7B49">
      <w:pPr>
        <w:pStyle w:val="a8"/>
        <w:spacing w:after="0" w:line="240" w:lineRule="auto"/>
        <w:ind w:left="0" w:firstLine="567"/>
        <w:jc w:val="both"/>
        <w:rPr>
          <w:rFonts w:ascii="Times New Roman" w:hAnsi="Times New Roman" w:cs="Times New Roman"/>
          <w:sz w:val="28"/>
        </w:rPr>
      </w:pPr>
      <w:r w:rsidRPr="005B1829">
        <w:rPr>
          <w:rFonts w:ascii="Times New Roman" w:hAnsi="Times New Roman" w:cs="Times New Roman"/>
          <w:sz w:val="28"/>
        </w:rPr>
        <w:t>Звіт про стратегічну екологічну оцінку Програми складено після врахування зауважень і пропозицій, отриманих у процесі громадського обговорення заяви про визначення обсягу стратегічної екологічної оцінки</w:t>
      </w:r>
      <w:r w:rsidR="00AC1F24" w:rsidRPr="005B1829">
        <w:rPr>
          <w:rFonts w:ascii="Times New Roman" w:hAnsi="Times New Roman" w:cs="Times New Roman"/>
          <w:sz w:val="28"/>
        </w:rPr>
        <w:t xml:space="preserve">, у тому числі отриманих від </w:t>
      </w:r>
      <w:r w:rsidRPr="005B1829">
        <w:rPr>
          <w:rFonts w:ascii="Times New Roman" w:hAnsi="Times New Roman" w:cs="Times New Roman"/>
          <w:sz w:val="28"/>
        </w:rPr>
        <w:t>відповідних підрозділів облдержадміністрації з питань охорони здоров’я і охорони навколишнього природного середовища</w:t>
      </w:r>
      <w:r w:rsidR="00F90779" w:rsidRPr="005B1829">
        <w:rPr>
          <w:rFonts w:ascii="Times New Roman" w:hAnsi="Times New Roman" w:cs="Times New Roman"/>
          <w:sz w:val="28"/>
        </w:rPr>
        <w:t>.</w:t>
      </w:r>
    </w:p>
    <w:p w:rsidR="007435A0" w:rsidRPr="005B1829" w:rsidRDefault="007435A0" w:rsidP="00DD7B49">
      <w:pPr>
        <w:pStyle w:val="a8"/>
        <w:spacing w:after="0" w:line="240" w:lineRule="auto"/>
        <w:ind w:left="0" w:firstLine="567"/>
        <w:jc w:val="both"/>
        <w:rPr>
          <w:rFonts w:ascii="Times New Roman" w:hAnsi="Times New Roman" w:cs="Times New Roman"/>
          <w:sz w:val="28"/>
        </w:rPr>
      </w:pPr>
      <w:bookmarkStart w:id="0" w:name="_GoBack"/>
      <w:bookmarkEnd w:id="0"/>
    </w:p>
    <w:p w:rsidR="001556D5" w:rsidRDefault="001556D5" w:rsidP="00DD7B49">
      <w:pPr>
        <w:pStyle w:val="a8"/>
        <w:spacing w:after="0" w:line="240" w:lineRule="auto"/>
        <w:ind w:left="0" w:firstLine="567"/>
        <w:jc w:val="both"/>
        <w:rPr>
          <w:rFonts w:ascii="Times New Roman" w:hAnsi="Times New Roman" w:cs="Times New Roman"/>
          <w:sz w:val="28"/>
        </w:rPr>
      </w:pPr>
    </w:p>
    <w:p w:rsidR="001556D5" w:rsidRDefault="001556D5" w:rsidP="00DD7B49">
      <w:pPr>
        <w:pStyle w:val="a8"/>
        <w:spacing w:after="0" w:line="240" w:lineRule="auto"/>
        <w:ind w:left="0" w:firstLine="567"/>
        <w:jc w:val="both"/>
        <w:rPr>
          <w:rFonts w:ascii="Times New Roman" w:hAnsi="Times New Roman" w:cs="Times New Roman"/>
          <w:sz w:val="28"/>
        </w:rPr>
      </w:pPr>
    </w:p>
    <w:p w:rsidR="001556D5" w:rsidRDefault="001556D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F76B25" w:rsidRDefault="00F76B25" w:rsidP="00DD7B49">
      <w:pPr>
        <w:pStyle w:val="a8"/>
        <w:spacing w:after="0" w:line="240" w:lineRule="auto"/>
        <w:ind w:left="0" w:firstLine="567"/>
        <w:jc w:val="both"/>
        <w:rPr>
          <w:rFonts w:ascii="Times New Roman" w:hAnsi="Times New Roman" w:cs="Times New Roman"/>
          <w:sz w:val="28"/>
          <w:lang w:val="ru-RU"/>
        </w:rPr>
      </w:pPr>
    </w:p>
    <w:p w:rsidR="001556D5" w:rsidRDefault="001556D5" w:rsidP="001556D5">
      <w:pPr>
        <w:pStyle w:val="a8"/>
        <w:spacing w:after="0" w:line="240" w:lineRule="auto"/>
        <w:ind w:firstLine="567"/>
        <w:jc w:val="center"/>
        <w:rPr>
          <w:rFonts w:ascii="Times New Roman" w:hAnsi="Times New Roman" w:cs="Times New Roman"/>
          <w:b/>
          <w:sz w:val="28"/>
        </w:rPr>
      </w:pPr>
      <w:r w:rsidRPr="001556D5">
        <w:rPr>
          <w:rFonts w:ascii="Times New Roman" w:hAnsi="Times New Roman" w:cs="Times New Roman"/>
          <w:b/>
          <w:sz w:val="28"/>
        </w:rPr>
        <w:lastRenderedPageBreak/>
        <w:t>СПИСОК ВИКОРИСТАНОЇ ЛІТЕРАТУРИ</w:t>
      </w:r>
    </w:p>
    <w:p w:rsidR="001556D5" w:rsidRPr="001556D5" w:rsidRDefault="001556D5" w:rsidP="001556D5">
      <w:pPr>
        <w:pStyle w:val="a8"/>
        <w:spacing w:after="0" w:line="240" w:lineRule="auto"/>
        <w:ind w:firstLine="567"/>
        <w:jc w:val="center"/>
        <w:rPr>
          <w:rFonts w:ascii="Times New Roman" w:hAnsi="Times New Roman" w:cs="Times New Roman"/>
          <w:b/>
          <w:sz w:val="28"/>
        </w:rPr>
      </w:pPr>
    </w:p>
    <w:p w:rsidR="001556D5" w:rsidRDefault="001556D5" w:rsidP="00F90779">
      <w:pPr>
        <w:pStyle w:val="a8"/>
        <w:numPr>
          <w:ilvl w:val="0"/>
          <w:numId w:val="11"/>
        </w:numPr>
        <w:spacing w:after="0" w:line="240" w:lineRule="auto"/>
        <w:ind w:left="924" w:hanging="357"/>
        <w:jc w:val="both"/>
        <w:rPr>
          <w:rFonts w:ascii="Times New Roman" w:hAnsi="Times New Roman" w:cs="Times New Roman"/>
          <w:sz w:val="28"/>
        </w:rPr>
      </w:pPr>
      <w:r w:rsidRPr="001556D5">
        <w:rPr>
          <w:rFonts w:ascii="Times New Roman" w:hAnsi="Times New Roman" w:cs="Times New Roman"/>
          <w:sz w:val="28"/>
        </w:rPr>
        <w:t>Закон України «Про стратегічну екологічну оцінку».</w:t>
      </w:r>
    </w:p>
    <w:p w:rsidR="001556D5" w:rsidRDefault="001556D5" w:rsidP="00F90779">
      <w:pPr>
        <w:pStyle w:val="a8"/>
        <w:numPr>
          <w:ilvl w:val="0"/>
          <w:numId w:val="11"/>
        </w:numPr>
        <w:spacing w:after="0" w:line="240" w:lineRule="auto"/>
        <w:ind w:left="924" w:hanging="357"/>
        <w:jc w:val="both"/>
        <w:rPr>
          <w:rFonts w:ascii="Times New Roman" w:hAnsi="Times New Roman" w:cs="Times New Roman"/>
          <w:sz w:val="28"/>
        </w:rPr>
      </w:pPr>
      <w:r w:rsidRPr="001556D5">
        <w:rPr>
          <w:rFonts w:ascii="Times New Roman" w:hAnsi="Times New Roman" w:cs="Times New Roman"/>
          <w:sz w:val="28"/>
        </w:rPr>
        <w:t>Про затвердження Методичних рекомендацій із здійснення стратегічної екологічної оцінки документів державного планування: наказ Міністерства екології та природних ресурсів України від 10.08.2018 № 296.</w:t>
      </w:r>
    </w:p>
    <w:p w:rsidR="001556D5" w:rsidRDefault="001556D5" w:rsidP="00F90779">
      <w:pPr>
        <w:pStyle w:val="a8"/>
        <w:numPr>
          <w:ilvl w:val="0"/>
          <w:numId w:val="11"/>
        </w:numPr>
        <w:spacing w:after="0" w:line="240" w:lineRule="auto"/>
        <w:ind w:left="924" w:hanging="357"/>
        <w:jc w:val="both"/>
        <w:rPr>
          <w:rFonts w:ascii="Times New Roman" w:hAnsi="Times New Roman" w:cs="Times New Roman"/>
          <w:sz w:val="28"/>
        </w:rPr>
      </w:pPr>
      <w:r>
        <w:rPr>
          <w:rFonts w:ascii="Times New Roman" w:hAnsi="Times New Roman" w:cs="Times New Roman"/>
          <w:sz w:val="28"/>
        </w:rPr>
        <w:t>Е</w:t>
      </w:r>
      <w:r w:rsidRPr="001556D5">
        <w:rPr>
          <w:rFonts w:ascii="Times New Roman" w:hAnsi="Times New Roman" w:cs="Times New Roman"/>
          <w:sz w:val="28"/>
        </w:rPr>
        <w:t>кологічний паспорт Луганської області</w:t>
      </w:r>
      <w:r>
        <w:rPr>
          <w:rFonts w:ascii="Times New Roman" w:hAnsi="Times New Roman" w:cs="Times New Roman"/>
          <w:sz w:val="28"/>
        </w:rPr>
        <w:t>.</w:t>
      </w:r>
    </w:p>
    <w:p w:rsidR="001556D5" w:rsidRDefault="001556D5" w:rsidP="00F90779">
      <w:pPr>
        <w:pStyle w:val="a8"/>
        <w:numPr>
          <w:ilvl w:val="0"/>
          <w:numId w:val="11"/>
        </w:numPr>
        <w:spacing w:after="0" w:line="240" w:lineRule="auto"/>
        <w:ind w:left="924" w:hanging="357"/>
        <w:jc w:val="both"/>
        <w:rPr>
          <w:rFonts w:ascii="Times New Roman" w:hAnsi="Times New Roman" w:cs="Times New Roman"/>
          <w:sz w:val="28"/>
        </w:rPr>
      </w:pPr>
      <w:r w:rsidRPr="001556D5">
        <w:rPr>
          <w:rFonts w:ascii="Times New Roman" w:hAnsi="Times New Roman" w:cs="Times New Roman"/>
          <w:sz w:val="28"/>
        </w:rPr>
        <w:t>Регіональна доповідь про стан навколишнього природного середовища в Луганській області у 2019 році</w:t>
      </w:r>
      <w:r>
        <w:rPr>
          <w:rFonts w:ascii="Times New Roman" w:hAnsi="Times New Roman" w:cs="Times New Roman"/>
          <w:sz w:val="28"/>
        </w:rPr>
        <w:t>.</w:t>
      </w:r>
    </w:p>
    <w:p w:rsidR="001556D5" w:rsidRPr="001556D5" w:rsidRDefault="001556D5" w:rsidP="00F90779">
      <w:pPr>
        <w:pStyle w:val="a8"/>
        <w:numPr>
          <w:ilvl w:val="0"/>
          <w:numId w:val="11"/>
        </w:numPr>
        <w:spacing w:after="0" w:line="240" w:lineRule="auto"/>
        <w:ind w:left="924" w:hanging="357"/>
        <w:jc w:val="both"/>
        <w:rPr>
          <w:rFonts w:ascii="Times New Roman" w:hAnsi="Times New Roman" w:cs="Times New Roman"/>
          <w:sz w:val="28"/>
        </w:rPr>
      </w:pPr>
      <w:proofErr w:type="spellStart"/>
      <w:r w:rsidRPr="001556D5">
        <w:rPr>
          <w:rFonts w:ascii="Times New Roman" w:hAnsi="Times New Roman" w:cs="Times New Roman"/>
          <w:sz w:val="28"/>
        </w:rPr>
        <w:t>Марушевський</w:t>
      </w:r>
      <w:proofErr w:type="spellEnd"/>
      <w:r w:rsidRPr="001556D5">
        <w:rPr>
          <w:rFonts w:ascii="Times New Roman" w:hAnsi="Times New Roman" w:cs="Times New Roman"/>
          <w:sz w:val="28"/>
        </w:rPr>
        <w:t xml:space="preserve"> Г. Б. Стратегічна екологічна оцінка : методичний </w:t>
      </w:r>
      <w:proofErr w:type="spellStart"/>
      <w:r w:rsidRPr="001556D5">
        <w:rPr>
          <w:rFonts w:ascii="Times New Roman" w:hAnsi="Times New Roman" w:cs="Times New Roman"/>
          <w:sz w:val="28"/>
        </w:rPr>
        <w:t>посіб</w:t>
      </w:r>
      <w:proofErr w:type="spellEnd"/>
      <w:r w:rsidRPr="001556D5">
        <w:rPr>
          <w:rFonts w:ascii="Times New Roman" w:hAnsi="Times New Roman" w:cs="Times New Roman"/>
          <w:sz w:val="28"/>
        </w:rPr>
        <w:t>. К. : Проект РЕОП, 2015. – 95 с.</w:t>
      </w:r>
    </w:p>
    <w:p w:rsidR="00FB31BE" w:rsidRPr="00F90779" w:rsidRDefault="001556D5" w:rsidP="00F90779">
      <w:pPr>
        <w:pStyle w:val="a8"/>
        <w:numPr>
          <w:ilvl w:val="0"/>
          <w:numId w:val="11"/>
        </w:numPr>
        <w:spacing w:after="0" w:line="240" w:lineRule="auto"/>
        <w:ind w:left="924" w:hanging="357"/>
        <w:jc w:val="both"/>
        <w:rPr>
          <w:rFonts w:ascii="Times New Roman" w:hAnsi="Times New Roman" w:cs="Times New Roman"/>
          <w:sz w:val="28"/>
        </w:rPr>
      </w:pPr>
      <w:proofErr w:type="spellStart"/>
      <w:r w:rsidRPr="001556D5">
        <w:rPr>
          <w:rFonts w:ascii="Times New Roman" w:hAnsi="Times New Roman" w:cs="Times New Roman"/>
          <w:sz w:val="28"/>
        </w:rPr>
        <w:t>Карамушка</w:t>
      </w:r>
      <w:proofErr w:type="spellEnd"/>
      <w:r w:rsidRPr="001556D5">
        <w:rPr>
          <w:rFonts w:ascii="Times New Roman" w:hAnsi="Times New Roman" w:cs="Times New Roman"/>
          <w:sz w:val="28"/>
        </w:rPr>
        <w:t xml:space="preserve"> В. І. Екологічна збалансованість стратегічних ініціатив і проектів (інтегрування довкільних аспектів у стратегічне планування та проекту діяльність): практичний </w:t>
      </w:r>
      <w:proofErr w:type="spellStart"/>
      <w:r w:rsidRPr="001556D5">
        <w:rPr>
          <w:rFonts w:ascii="Times New Roman" w:hAnsi="Times New Roman" w:cs="Times New Roman"/>
          <w:sz w:val="28"/>
        </w:rPr>
        <w:t>посіб</w:t>
      </w:r>
      <w:proofErr w:type="spellEnd"/>
      <w:r w:rsidRPr="001556D5">
        <w:rPr>
          <w:rFonts w:ascii="Times New Roman" w:hAnsi="Times New Roman" w:cs="Times New Roman"/>
          <w:sz w:val="28"/>
        </w:rPr>
        <w:t>. К. : К.І.С., 2012. – 138 с.</w:t>
      </w:r>
    </w:p>
    <w:p w:rsidR="008B16F0" w:rsidRDefault="008B16F0" w:rsidP="00F90779">
      <w:pPr>
        <w:pStyle w:val="a8"/>
        <w:numPr>
          <w:ilvl w:val="0"/>
          <w:numId w:val="11"/>
        </w:numPr>
        <w:spacing w:after="0" w:line="240" w:lineRule="auto"/>
        <w:ind w:left="924" w:hanging="357"/>
        <w:jc w:val="both"/>
        <w:rPr>
          <w:rFonts w:ascii="Times New Roman" w:hAnsi="Times New Roman" w:cs="Times New Roman"/>
          <w:sz w:val="28"/>
        </w:rPr>
      </w:pPr>
      <w:r w:rsidRPr="008B16F0">
        <w:rPr>
          <w:rFonts w:ascii="Times New Roman" w:hAnsi="Times New Roman" w:cs="Times New Roman"/>
          <w:sz w:val="28"/>
        </w:rPr>
        <w:t>Статистичний збірник «Довкілля Луганщини у 2017 році», Головне управління статистики у Луганській області.</w:t>
      </w:r>
    </w:p>
    <w:p w:rsidR="001556D5" w:rsidRDefault="001556D5" w:rsidP="001556D5">
      <w:pPr>
        <w:pStyle w:val="a8"/>
        <w:spacing w:after="0" w:line="240" w:lineRule="auto"/>
        <w:ind w:left="0" w:firstLine="567"/>
        <w:jc w:val="both"/>
        <w:rPr>
          <w:rFonts w:ascii="Times New Roman" w:hAnsi="Times New Roman" w:cs="Times New Roman"/>
          <w:sz w:val="28"/>
        </w:rPr>
      </w:pPr>
    </w:p>
    <w:p w:rsidR="001556D5" w:rsidRDefault="001556D5" w:rsidP="001556D5">
      <w:pPr>
        <w:pStyle w:val="a8"/>
        <w:spacing w:after="0" w:line="240" w:lineRule="auto"/>
        <w:ind w:left="0" w:firstLine="567"/>
        <w:jc w:val="both"/>
        <w:rPr>
          <w:rFonts w:ascii="Times New Roman" w:hAnsi="Times New Roman" w:cs="Times New Roman"/>
          <w:sz w:val="28"/>
        </w:rPr>
      </w:pPr>
    </w:p>
    <w:p w:rsidR="008B16F0" w:rsidRDefault="008B16F0" w:rsidP="008B16F0">
      <w:pPr>
        <w:pStyle w:val="a8"/>
        <w:spacing w:after="0" w:line="240" w:lineRule="auto"/>
        <w:ind w:left="0" w:firstLine="567"/>
        <w:jc w:val="both"/>
        <w:rPr>
          <w:rFonts w:ascii="Times New Roman" w:hAnsi="Times New Roman" w:cs="Times New Roman"/>
          <w:b/>
          <w:sz w:val="28"/>
          <w:lang w:val="ru-RU"/>
        </w:rPr>
      </w:pPr>
      <w:r w:rsidRPr="008B16F0">
        <w:rPr>
          <w:rFonts w:ascii="Times New Roman" w:hAnsi="Times New Roman" w:cs="Times New Roman"/>
          <w:b/>
          <w:sz w:val="28"/>
        </w:rPr>
        <w:t>Виконавці:</w:t>
      </w:r>
    </w:p>
    <w:p w:rsidR="008B16F0" w:rsidRPr="008B16F0" w:rsidRDefault="008B16F0" w:rsidP="008B16F0">
      <w:pPr>
        <w:pStyle w:val="a8"/>
        <w:spacing w:after="0" w:line="240" w:lineRule="auto"/>
        <w:ind w:left="0" w:firstLine="567"/>
        <w:jc w:val="both"/>
        <w:rPr>
          <w:rFonts w:ascii="Times New Roman" w:hAnsi="Times New Roman" w:cs="Times New Roman"/>
          <w:b/>
          <w:sz w:val="28"/>
          <w:lang w:val="ru-RU"/>
        </w:rPr>
      </w:pPr>
    </w:p>
    <w:p w:rsidR="008B16F0" w:rsidRDefault="008B16F0" w:rsidP="008B16F0">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lang w:val="ru-RU"/>
        </w:rPr>
        <w:t>Начальник в</w:t>
      </w:r>
      <w:proofErr w:type="spellStart"/>
      <w:r>
        <w:rPr>
          <w:rFonts w:ascii="Times New Roman" w:hAnsi="Times New Roman" w:cs="Times New Roman"/>
          <w:sz w:val="28"/>
        </w:rPr>
        <w:t>ідділу</w:t>
      </w:r>
      <w:proofErr w:type="spellEnd"/>
      <w:r>
        <w:rPr>
          <w:rFonts w:ascii="Times New Roman" w:hAnsi="Times New Roman" w:cs="Times New Roman"/>
          <w:sz w:val="28"/>
        </w:rPr>
        <w:t xml:space="preserve"> розвитку</w:t>
      </w:r>
    </w:p>
    <w:p w:rsidR="008B16F0" w:rsidRDefault="008B16F0" w:rsidP="008B16F0">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житлово-комунального господарства</w:t>
      </w:r>
    </w:p>
    <w:p w:rsidR="008B16F0" w:rsidRPr="008B16F0" w:rsidRDefault="008B16F0" w:rsidP="008B16F0">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та ліцензування</w:t>
      </w:r>
      <w:r w:rsidRPr="008B16F0">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t xml:space="preserve">    </w:t>
      </w:r>
      <w:r>
        <w:rPr>
          <w:rFonts w:ascii="Times New Roman" w:hAnsi="Times New Roman" w:cs="Times New Roman"/>
          <w:sz w:val="28"/>
        </w:rPr>
        <w:t xml:space="preserve">І. </w:t>
      </w:r>
      <w:proofErr w:type="spellStart"/>
      <w:r>
        <w:rPr>
          <w:rFonts w:ascii="Times New Roman" w:hAnsi="Times New Roman" w:cs="Times New Roman"/>
          <w:sz w:val="28"/>
        </w:rPr>
        <w:t>Масляк</w:t>
      </w:r>
      <w:proofErr w:type="spellEnd"/>
    </w:p>
    <w:p w:rsidR="008B16F0" w:rsidRDefault="008B16F0" w:rsidP="008B16F0">
      <w:pPr>
        <w:pStyle w:val="a8"/>
        <w:spacing w:after="0" w:line="240" w:lineRule="auto"/>
        <w:ind w:left="0" w:firstLine="567"/>
        <w:jc w:val="both"/>
        <w:rPr>
          <w:rFonts w:ascii="Times New Roman" w:hAnsi="Times New Roman" w:cs="Times New Roman"/>
          <w:sz w:val="28"/>
          <w:lang w:val="ru-RU"/>
        </w:rPr>
      </w:pPr>
    </w:p>
    <w:p w:rsidR="008B16F0" w:rsidRDefault="008B16F0" w:rsidP="008B16F0">
      <w:pPr>
        <w:pStyle w:val="a8"/>
        <w:spacing w:after="0" w:line="240" w:lineRule="auto"/>
        <w:ind w:left="0" w:firstLine="567"/>
        <w:jc w:val="both"/>
        <w:rPr>
          <w:rFonts w:ascii="Times New Roman" w:hAnsi="Times New Roman" w:cs="Times New Roman"/>
          <w:sz w:val="28"/>
        </w:rPr>
      </w:pPr>
      <w:r w:rsidRPr="008B16F0">
        <w:rPr>
          <w:rFonts w:ascii="Times New Roman" w:hAnsi="Times New Roman" w:cs="Times New Roman"/>
          <w:sz w:val="28"/>
        </w:rPr>
        <w:t xml:space="preserve">Головний спеціаліст відділу </w:t>
      </w:r>
      <w:r>
        <w:rPr>
          <w:rFonts w:ascii="Times New Roman" w:hAnsi="Times New Roman" w:cs="Times New Roman"/>
          <w:sz w:val="28"/>
        </w:rPr>
        <w:t>розвитку</w:t>
      </w:r>
    </w:p>
    <w:p w:rsidR="008B16F0" w:rsidRDefault="008B16F0" w:rsidP="008B16F0">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житлово-комунального господарства</w:t>
      </w:r>
    </w:p>
    <w:p w:rsidR="001556D5" w:rsidRPr="00DD7B49" w:rsidRDefault="008B16F0" w:rsidP="008B16F0">
      <w:pPr>
        <w:pStyle w:val="a8"/>
        <w:spacing w:after="0" w:line="240" w:lineRule="auto"/>
        <w:ind w:left="0" w:firstLine="567"/>
        <w:jc w:val="both"/>
        <w:rPr>
          <w:rFonts w:ascii="Times New Roman" w:hAnsi="Times New Roman" w:cs="Times New Roman"/>
          <w:sz w:val="28"/>
        </w:rPr>
      </w:pPr>
      <w:r>
        <w:rPr>
          <w:rFonts w:ascii="Times New Roman" w:hAnsi="Times New Roman" w:cs="Times New Roman"/>
          <w:sz w:val="28"/>
        </w:rPr>
        <w:t>та ліцензування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r>
      <w:r>
        <w:rPr>
          <w:rFonts w:ascii="Times New Roman" w:hAnsi="Times New Roman" w:cs="Times New Roman"/>
          <w:sz w:val="28"/>
          <w:lang w:val="ru-RU"/>
        </w:rPr>
        <w:tab/>
        <w:t xml:space="preserve">    </w:t>
      </w:r>
      <w:r>
        <w:rPr>
          <w:rFonts w:ascii="Times New Roman" w:hAnsi="Times New Roman" w:cs="Times New Roman"/>
          <w:sz w:val="28"/>
        </w:rPr>
        <w:t xml:space="preserve">І. </w:t>
      </w:r>
      <w:proofErr w:type="spellStart"/>
      <w:r>
        <w:rPr>
          <w:rFonts w:ascii="Times New Roman" w:hAnsi="Times New Roman" w:cs="Times New Roman"/>
          <w:sz w:val="28"/>
        </w:rPr>
        <w:t>Глумов</w:t>
      </w:r>
      <w:proofErr w:type="spellEnd"/>
    </w:p>
    <w:sectPr w:rsidR="001556D5" w:rsidRPr="00DD7B49" w:rsidSect="00CE3123">
      <w:headerReference w:type="default" r:id="rId9"/>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51" w:rsidRDefault="00104D51" w:rsidP="00073A3B">
      <w:pPr>
        <w:spacing w:after="0" w:line="240" w:lineRule="auto"/>
      </w:pPr>
      <w:r>
        <w:separator/>
      </w:r>
    </w:p>
  </w:endnote>
  <w:endnote w:type="continuationSeparator" w:id="0">
    <w:p w:rsidR="00104D51" w:rsidRDefault="00104D51" w:rsidP="0007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51" w:rsidRDefault="00104D51" w:rsidP="00073A3B">
      <w:pPr>
        <w:spacing w:after="0" w:line="240" w:lineRule="auto"/>
      </w:pPr>
      <w:r>
        <w:separator/>
      </w:r>
    </w:p>
  </w:footnote>
  <w:footnote w:type="continuationSeparator" w:id="0">
    <w:p w:rsidR="00104D51" w:rsidRDefault="00104D51" w:rsidP="00073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938240"/>
      <w:docPartObj>
        <w:docPartGallery w:val="Page Numbers (Top of Page)"/>
        <w:docPartUnique/>
      </w:docPartObj>
    </w:sdtPr>
    <w:sdtContent>
      <w:p w:rsidR="00EB51C2" w:rsidRDefault="00EB51C2">
        <w:pPr>
          <w:pStyle w:val="a4"/>
          <w:jc w:val="center"/>
        </w:pPr>
        <w:r>
          <w:fldChar w:fldCharType="begin"/>
        </w:r>
        <w:r>
          <w:instrText>PAGE   \* MERGEFORMAT</w:instrText>
        </w:r>
        <w:r>
          <w:fldChar w:fldCharType="separate"/>
        </w:r>
        <w:r w:rsidR="005B1829" w:rsidRPr="005B1829">
          <w:rPr>
            <w:noProof/>
            <w:lang w:val="ru-RU"/>
          </w:rPr>
          <w:t>29</w:t>
        </w:r>
        <w:r>
          <w:fldChar w:fldCharType="end"/>
        </w:r>
      </w:p>
    </w:sdtContent>
  </w:sdt>
  <w:p w:rsidR="00EB51C2" w:rsidRDefault="00EB51C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B53"/>
    <w:multiLevelType w:val="hybridMultilevel"/>
    <w:tmpl w:val="2B304C38"/>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1349B6"/>
    <w:multiLevelType w:val="hybridMultilevel"/>
    <w:tmpl w:val="BD562736"/>
    <w:lvl w:ilvl="0" w:tplc="7DDCEF8E">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5F506A6"/>
    <w:multiLevelType w:val="hybridMultilevel"/>
    <w:tmpl w:val="915E31B2"/>
    <w:lvl w:ilvl="0" w:tplc="0422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6D32D1"/>
    <w:multiLevelType w:val="multilevel"/>
    <w:tmpl w:val="8948E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D3F2B"/>
    <w:multiLevelType w:val="hybridMultilevel"/>
    <w:tmpl w:val="11C898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0876A4A"/>
    <w:multiLevelType w:val="hybridMultilevel"/>
    <w:tmpl w:val="410237E8"/>
    <w:lvl w:ilvl="0" w:tplc="0C427BA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871AD5"/>
    <w:multiLevelType w:val="hybridMultilevel"/>
    <w:tmpl w:val="8A1CEDF2"/>
    <w:lvl w:ilvl="0" w:tplc="740EDD8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58102DBD"/>
    <w:multiLevelType w:val="hybridMultilevel"/>
    <w:tmpl w:val="EA847A40"/>
    <w:lvl w:ilvl="0" w:tplc="DBCCB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CD6206B"/>
    <w:multiLevelType w:val="multilevel"/>
    <w:tmpl w:val="A0BCCF82"/>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1B44DE0"/>
    <w:multiLevelType w:val="hybridMultilevel"/>
    <w:tmpl w:val="925C7776"/>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8CF78E2"/>
    <w:multiLevelType w:val="multilevel"/>
    <w:tmpl w:val="A4166BB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
  </w:num>
  <w:num w:numId="2">
    <w:abstractNumId w:val="10"/>
  </w:num>
  <w:num w:numId="3">
    <w:abstractNumId w:val="6"/>
  </w:num>
  <w:num w:numId="4">
    <w:abstractNumId w:val="1"/>
  </w:num>
  <w:num w:numId="5">
    <w:abstractNumId w:val="2"/>
  </w:num>
  <w:num w:numId="6">
    <w:abstractNumId w:val="4"/>
  </w:num>
  <w:num w:numId="7">
    <w:abstractNumId w:val="0"/>
  </w:num>
  <w:num w:numId="8">
    <w:abstractNumId w:val="9"/>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DF"/>
    <w:rsid w:val="0000453E"/>
    <w:rsid w:val="00005923"/>
    <w:rsid w:val="00024F28"/>
    <w:rsid w:val="00031EDF"/>
    <w:rsid w:val="00033C23"/>
    <w:rsid w:val="00073A3B"/>
    <w:rsid w:val="00077F8E"/>
    <w:rsid w:val="0008332A"/>
    <w:rsid w:val="0010344F"/>
    <w:rsid w:val="00104D51"/>
    <w:rsid w:val="00115AC3"/>
    <w:rsid w:val="001305B3"/>
    <w:rsid w:val="00135EDE"/>
    <w:rsid w:val="001425D8"/>
    <w:rsid w:val="00154A9E"/>
    <w:rsid w:val="001556D5"/>
    <w:rsid w:val="00187BBB"/>
    <w:rsid w:val="001942F2"/>
    <w:rsid w:val="001A0A4E"/>
    <w:rsid w:val="00245C79"/>
    <w:rsid w:val="00267834"/>
    <w:rsid w:val="002A5B96"/>
    <w:rsid w:val="002B68C8"/>
    <w:rsid w:val="002F3269"/>
    <w:rsid w:val="00333255"/>
    <w:rsid w:val="003408F1"/>
    <w:rsid w:val="003471BB"/>
    <w:rsid w:val="003B583B"/>
    <w:rsid w:val="003B7B32"/>
    <w:rsid w:val="003D550D"/>
    <w:rsid w:val="00463DD5"/>
    <w:rsid w:val="004A2838"/>
    <w:rsid w:val="004E39B5"/>
    <w:rsid w:val="004E3A53"/>
    <w:rsid w:val="0051073A"/>
    <w:rsid w:val="00514409"/>
    <w:rsid w:val="0052117F"/>
    <w:rsid w:val="005257DC"/>
    <w:rsid w:val="00545AEA"/>
    <w:rsid w:val="00586167"/>
    <w:rsid w:val="00596299"/>
    <w:rsid w:val="005A1082"/>
    <w:rsid w:val="005B1829"/>
    <w:rsid w:val="005C3D3C"/>
    <w:rsid w:val="00612BEB"/>
    <w:rsid w:val="00636AB5"/>
    <w:rsid w:val="0064622D"/>
    <w:rsid w:val="00681B39"/>
    <w:rsid w:val="00695B06"/>
    <w:rsid w:val="006B0076"/>
    <w:rsid w:val="006D02FF"/>
    <w:rsid w:val="006E3185"/>
    <w:rsid w:val="00711614"/>
    <w:rsid w:val="007435A0"/>
    <w:rsid w:val="007572DB"/>
    <w:rsid w:val="007603EF"/>
    <w:rsid w:val="007B3BF1"/>
    <w:rsid w:val="007D6279"/>
    <w:rsid w:val="008B16F0"/>
    <w:rsid w:val="008F2BB0"/>
    <w:rsid w:val="0090614A"/>
    <w:rsid w:val="00917B48"/>
    <w:rsid w:val="009A446D"/>
    <w:rsid w:val="009C366E"/>
    <w:rsid w:val="009C3F68"/>
    <w:rsid w:val="009C5D2C"/>
    <w:rsid w:val="00A32776"/>
    <w:rsid w:val="00A51167"/>
    <w:rsid w:val="00AC1F24"/>
    <w:rsid w:val="00AF45FC"/>
    <w:rsid w:val="00AF6E13"/>
    <w:rsid w:val="00B17156"/>
    <w:rsid w:val="00B24932"/>
    <w:rsid w:val="00B40DCC"/>
    <w:rsid w:val="00B45B05"/>
    <w:rsid w:val="00B942EA"/>
    <w:rsid w:val="00BD56DF"/>
    <w:rsid w:val="00C474B4"/>
    <w:rsid w:val="00C727DF"/>
    <w:rsid w:val="00C77019"/>
    <w:rsid w:val="00CC1698"/>
    <w:rsid w:val="00CC41EC"/>
    <w:rsid w:val="00CE3123"/>
    <w:rsid w:val="00CF1F3F"/>
    <w:rsid w:val="00D827A9"/>
    <w:rsid w:val="00D86931"/>
    <w:rsid w:val="00D93337"/>
    <w:rsid w:val="00DB2511"/>
    <w:rsid w:val="00DC2632"/>
    <w:rsid w:val="00DD7B49"/>
    <w:rsid w:val="00E00D83"/>
    <w:rsid w:val="00E06150"/>
    <w:rsid w:val="00E306A6"/>
    <w:rsid w:val="00EB51C2"/>
    <w:rsid w:val="00F37C96"/>
    <w:rsid w:val="00F67E80"/>
    <w:rsid w:val="00F70D29"/>
    <w:rsid w:val="00F76B25"/>
    <w:rsid w:val="00F90779"/>
    <w:rsid w:val="00FA512F"/>
    <w:rsid w:val="00FB31BE"/>
    <w:rsid w:val="00FD0F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6B0076"/>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6B0076"/>
    <w:rPr>
      <w:rFonts w:ascii="Times New Roman" w:eastAsia="Times New Roman" w:hAnsi="Times New Roman" w:cs="Times New Roman"/>
      <w:sz w:val="28"/>
      <w:szCs w:val="28"/>
      <w:shd w:val="clear" w:color="auto" w:fill="FFFFFF"/>
    </w:rPr>
  </w:style>
  <w:style w:type="paragraph" w:customStyle="1" w:styleId="50">
    <w:name w:val="Основной текст (5)"/>
    <w:basedOn w:val="a"/>
    <w:link w:val="5"/>
    <w:rsid w:val="006B0076"/>
    <w:pPr>
      <w:widowControl w:val="0"/>
      <w:shd w:val="clear" w:color="auto" w:fill="FFFFFF"/>
      <w:spacing w:before="8460" w:after="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6B0076"/>
    <w:pPr>
      <w:widowControl w:val="0"/>
      <w:shd w:val="clear" w:color="auto" w:fill="FFFFFF"/>
      <w:spacing w:before="300" w:after="300" w:line="0" w:lineRule="atLeast"/>
      <w:ind w:hanging="700"/>
    </w:pPr>
    <w:rPr>
      <w:rFonts w:ascii="Times New Roman" w:eastAsia="Times New Roman" w:hAnsi="Times New Roman" w:cs="Times New Roman"/>
      <w:sz w:val="28"/>
      <w:szCs w:val="28"/>
    </w:rPr>
  </w:style>
  <w:style w:type="table" w:styleId="a3">
    <w:name w:val="Table Grid"/>
    <w:basedOn w:val="a1"/>
    <w:uiPriority w:val="59"/>
    <w:rsid w:val="006B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3A3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73A3B"/>
  </w:style>
  <w:style w:type="paragraph" w:styleId="a6">
    <w:name w:val="footer"/>
    <w:basedOn w:val="a"/>
    <w:link w:val="a7"/>
    <w:uiPriority w:val="99"/>
    <w:unhideWhenUsed/>
    <w:rsid w:val="00073A3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73A3B"/>
  </w:style>
  <w:style w:type="paragraph" w:styleId="a8">
    <w:name w:val="List Paragraph"/>
    <w:basedOn w:val="a"/>
    <w:uiPriority w:val="34"/>
    <w:qFormat/>
    <w:rsid w:val="00073A3B"/>
    <w:pPr>
      <w:ind w:left="720"/>
      <w:contextualSpacing/>
    </w:pPr>
  </w:style>
  <w:style w:type="paragraph" w:customStyle="1" w:styleId="Default">
    <w:name w:val="Default"/>
    <w:rsid w:val="00135ED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6B0076"/>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6B0076"/>
    <w:rPr>
      <w:rFonts w:ascii="Times New Roman" w:eastAsia="Times New Roman" w:hAnsi="Times New Roman" w:cs="Times New Roman"/>
      <w:sz w:val="28"/>
      <w:szCs w:val="28"/>
      <w:shd w:val="clear" w:color="auto" w:fill="FFFFFF"/>
    </w:rPr>
  </w:style>
  <w:style w:type="paragraph" w:customStyle="1" w:styleId="50">
    <w:name w:val="Основной текст (5)"/>
    <w:basedOn w:val="a"/>
    <w:link w:val="5"/>
    <w:rsid w:val="006B0076"/>
    <w:pPr>
      <w:widowControl w:val="0"/>
      <w:shd w:val="clear" w:color="auto" w:fill="FFFFFF"/>
      <w:spacing w:before="8460" w:after="0" w:line="0" w:lineRule="atLeas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6B0076"/>
    <w:pPr>
      <w:widowControl w:val="0"/>
      <w:shd w:val="clear" w:color="auto" w:fill="FFFFFF"/>
      <w:spacing w:before="300" w:after="300" w:line="0" w:lineRule="atLeast"/>
      <w:ind w:hanging="700"/>
    </w:pPr>
    <w:rPr>
      <w:rFonts w:ascii="Times New Roman" w:eastAsia="Times New Roman" w:hAnsi="Times New Roman" w:cs="Times New Roman"/>
      <w:sz w:val="28"/>
      <w:szCs w:val="28"/>
    </w:rPr>
  </w:style>
  <w:style w:type="table" w:styleId="a3">
    <w:name w:val="Table Grid"/>
    <w:basedOn w:val="a1"/>
    <w:uiPriority w:val="59"/>
    <w:rsid w:val="006B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3A3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73A3B"/>
  </w:style>
  <w:style w:type="paragraph" w:styleId="a6">
    <w:name w:val="footer"/>
    <w:basedOn w:val="a"/>
    <w:link w:val="a7"/>
    <w:uiPriority w:val="99"/>
    <w:unhideWhenUsed/>
    <w:rsid w:val="00073A3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73A3B"/>
  </w:style>
  <w:style w:type="paragraph" w:styleId="a8">
    <w:name w:val="List Paragraph"/>
    <w:basedOn w:val="a"/>
    <w:uiPriority w:val="34"/>
    <w:qFormat/>
    <w:rsid w:val="00073A3B"/>
    <w:pPr>
      <w:ind w:left="720"/>
      <w:contextualSpacing/>
    </w:pPr>
  </w:style>
  <w:style w:type="paragraph" w:customStyle="1" w:styleId="Default">
    <w:name w:val="Default"/>
    <w:rsid w:val="00135E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175F-AED5-4A95-87E9-692ACBE2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29</Pages>
  <Words>9817</Words>
  <Characters>55958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Леново1</dc:creator>
  <cp:keywords/>
  <dc:description/>
  <cp:lastModifiedBy>Markos</cp:lastModifiedBy>
  <cp:revision>46</cp:revision>
  <dcterms:created xsi:type="dcterms:W3CDTF">2020-09-01T12:45:00Z</dcterms:created>
  <dcterms:modified xsi:type="dcterms:W3CDTF">2020-09-22T07:03:00Z</dcterms:modified>
</cp:coreProperties>
</file>