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3" w:rsidRDefault="004522E3" w:rsidP="004522E3">
      <w:pPr>
        <w:tabs>
          <w:tab w:val="left" w:pos="851"/>
        </w:tabs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Офіс з просування експорту спільно з Київською торгово-промисловою палатою запрошують українських виробників в експортній категорії «готові продукти харчування та напої» (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Food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Beverages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) до участі в Українській торговій місії до Китайської Народної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Респу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бліки 13-17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листопада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 2017 року в рамках проведення продуктової виставки FHC China, яка відбудеться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 xml:space="preserve">14-16 листопада 2017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рок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у. </w:t>
      </w:r>
      <w:hyperlink r:id="rId6" w:tgtFrame="_blank" w:history="1">
        <w:r>
          <w:rPr>
            <w:rStyle w:val="a3"/>
            <w:rFonts w:ascii="Times New Roman" w:hAnsi="Times New Roman"/>
            <w:bCs/>
            <w:color w:val="000000"/>
            <w:sz w:val="28"/>
            <w:szCs w:val="28"/>
          </w:rPr>
          <w:t xml:space="preserve">FHC </w:t>
        </w:r>
        <w:proofErr w:type="spellStart"/>
        <w:r>
          <w:rPr>
            <w:rStyle w:val="a3"/>
            <w:rFonts w:ascii="Times New Roman" w:hAnsi="Times New Roman"/>
            <w:bCs/>
            <w:color w:val="000000"/>
            <w:sz w:val="28"/>
            <w:szCs w:val="28"/>
          </w:rPr>
          <w:t>China</w:t>
        </w:r>
        <w:proofErr w:type="spellEnd"/>
        <w:r>
          <w:rPr>
            <w:rStyle w:val="a3"/>
            <w:rFonts w:ascii="Times New Roman" w:hAnsi="Times New Roman"/>
            <w:bCs/>
            <w:color w:val="000000"/>
            <w:sz w:val="28"/>
            <w:szCs w:val="28"/>
          </w:rPr>
          <w:t xml:space="preserve"> 2017</w:t>
        </w:r>
      </w:hyperlink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Global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Food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Hospitality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Trade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Show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- це:</w:t>
      </w:r>
    </w:p>
    <w:p w:rsidR="004522E3" w:rsidRDefault="004522E3" w:rsidP="004522E3">
      <w:pPr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40 виставкових павільйонів</w:t>
      </w:r>
    </w:p>
    <w:p w:rsidR="004522E3" w:rsidRDefault="004522E3" w:rsidP="004522E3">
      <w:pPr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2350 компаній-учасниць з більш ніж 66 країн і регіонів</w:t>
      </w:r>
    </w:p>
    <w:p w:rsidR="004522E3" w:rsidRDefault="004522E3" w:rsidP="004522E3">
      <w:pPr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72,246 професійних відвідувачів в 2016 році </w:t>
      </w:r>
    </w:p>
    <w:p w:rsidR="004522E3" w:rsidRDefault="004522E3" w:rsidP="004522E3">
      <w:pPr>
        <w:tabs>
          <w:tab w:val="left" w:pos="851"/>
        </w:tabs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Місце проведення: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Shanghai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New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International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Expo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Centre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(SNIEC), м. Шанхай.</w:t>
      </w:r>
    </w:p>
    <w:p w:rsidR="004522E3" w:rsidRDefault="004522E3" w:rsidP="004522E3">
      <w:pPr>
        <w:tabs>
          <w:tab w:val="left" w:pos="851"/>
        </w:tabs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 виставці планується організувати сучасний український колективний стенд для 16 компаній із загальною площею до 100 м2, яка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включати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ме зону для проведення b2b зустрічей усіх учасників торгової місії. Окрім участі та відвідування FHC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China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в програмі торгової місії передбачені візити на підприємства, неформальні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нетворкінг-заходи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з китайськими партнерами, тощо. </w:t>
      </w:r>
    </w:p>
    <w:p w:rsidR="004522E3" w:rsidRDefault="004522E3" w:rsidP="004522E3">
      <w:pPr>
        <w:tabs>
          <w:tab w:val="left" w:pos="851"/>
        </w:tabs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Попередня реєстрація відкрита до кінця червня 2017 року. У разі будь-яких питань, просимо звертайтесь до Інни Буряк, Бізнес-можливості  +380(67)-828-20-35,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hyperlink r:id="rId7" w:tgtFrame="_blank" w:history="1">
        <w:r>
          <w:rPr>
            <w:rStyle w:val="a3"/>
            <w:rFonts w:ascii="Times New Roman" w:hAnsi="Times New Roman"/>
            <w:bCs/>
            <w:color w:val="000000"/>
            <w:sz w:val="28"/>
            <w:szCs w:val="28"/>
          </w:rPr>
          <w:t>iburia</w:t>
        </w:r>
        <w:proofErr w:type="spellEnd"/>
        <w:r>
          <w:rPr>
            <w:rStyle w:val="a3"/>
            <w:rFonts w:ascii="Times New Roman" w:hAnsi="Times New Roman"/>
            <w:bCs/>
            <w:color w:val="000000"/>
            <w:sz w:val="28"/>
            <w:szCs w:val="28"/>
          </w:rPr>
          <w:t>k@epo.org.ua </w:t>
        </w:r>
      </w:hyperlink>
    </w:p>
    <w:p w:rsidR="004522E3" w:rsidRDefault="004522E3" w:rsidP="004522E3">
      <w:pPr>
        <w:tabs>
          <w:tab w:val="left" w:pos="851"/>
        </w:tabs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Щодо експортних консультацій — будь ласка, звертайтесь до Сергія Малиновського, Послуги для експортерів +380(67)-524-85-10,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hyperlink r:id="rId8" w:tgtFrame="_blank" w:history="1">
        <w:r>
          <w:rPr>
            <w:rStyle w:val="a3"/>
            <w:rFonts w:ascii="Times New Roman" w:hAnsi="Times New Roman"/>
            <w:bCs/>
            <w:color w:val="000000"/>
            <w:sz w:val="28"/>
            <w:szCs w:val="28"/>
          </w:rPr>
          <w:t>smalinovski</w:t>
        </w:r>
        <w:proofErr w:type="spellEnd"/>
        <w:r>
          <w:rPr>
            <w:rStyle w:val="a3"/>
            <w:rFonts w:ascii="Times New Roman" w:hAnsi="Times New Roman"/>
            <w:bCs/>
            <w:color w:val="000000"/>
            <w:sz w:val="28"/>
            <w:szCs w:val="28"/>
          </w:rPr>
          <w:t>y@epo.org.ua</w:t>
        </w:r>
      </w:hyperlink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522E3" w:rsidRDefault="004522E3" w:rsidP="004522E3">
      <w:pPr>
        <w:tabs>
          <w:tab w:val="left" w:pos="851"/>
        </w:tabs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Компанії, які представляють малий та середній бізнес зможуть податись на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грант </w:t>
      </w:r>
      <w:hyperlink r:id="rId9" w:tgtFrame="_blank" w:history="1">
        <w:r>
          <w:rPr>
            <w:rStyle w:val="a3"/>
            <w:rFonts w:ascii="Times New Roman" w:hAnsi="Times New Roman"/>
            <w:bCs/>
            <w:color w:val="000000"/>
            <w:sz w:val="28"/>
            <w:szCs w:val="28"/>
          </w:rPr>
          <w:t>WNIS</w:t>
        </w:r>
        <w:proofErr w:type="spellEnd"/>
        <w:r>
          <w:rPr>
            <w:rStyle w:val="a3"/>
            <w:rFonts w:ascii="Times New Roman" w:hAnsi="Times New Roman"/>
            <w:bCs/>
            <w:color w:val="000000"/>
            <w:sz w:val="28"/>
            <w:szCs w:val="28"/>
          </w:rPr>
          <w:t>EF</w:t>
        </w:r>
      </w:hyperlink>
      <w:r>
        <w:rPr>
          <w:rFonts w:ascii="Times New Roman" w:hAnsi="Times New Roman"/>
          <w:bCs/>
          <w:color w:val="000000"/>
          <w:sz w:val="28"/>
          <w:szCs w:val="28"/>
        </w:rPr>
        <w:t> для отримання фінансової допомоги на покриття до 50% витрат на участь у виставці.</w:t>
      </w:r>
    </w:p>
    <w:p w:rsidR="004522E3" w:rsidRDefault="004522E3" w:rsidP="004522E3">
      <w:pPr>
        <w:tabs>
          <w:tab w:val="left" w:pos="851"/>
        </w:tabs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Реєстрація: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hyperlink r:id="rId10" w:tgtFrame="_blank" w:history="1">
        <w:r>
          <w:rPr>
            <w:rStyle w:val="a3"/>
            <w:rFonts w:ascii="Times New Roman" w:hAnsi="Times New Roman"/>
            <w:bCs/>
            <w:color w:val="000000"/>
            <w:sz w:val="28"/>
            <w:szCs w:val="28"/>
          </w:rPr>
          <w:t>http</w:t>
        </w:r>
        <w:proofErr w:type="spellEnd"/>
        <w:r>
          <w:rPr>
            <w:rStyle w:val="a3"/>
            <w:rFonts w:ascii="Times New Roman" w:hAnsi="Times New Roman"/>
            <w:bCs/>
            <w:color w:val="000000"/>
            <w:sz w:val="28"/>
            <w:szCs w:val="28"/>
          </w:rPr>
          <w:t>s://goo.gl/forms/LNTvVgxCjE9UEg4R2</w:t>
        </w:r>
      </w:hyperlink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9100B6" w:rsidRPr="004522E3" w:rsidRDefault="009100B6">
      <w:pPr>
        <w:rPr>
          <w:lang w:val="ru-RU"/>
        </w:rPr>
      </w:pPr>
      <w:bookmarkStart w:id="0" w:name="_GoBack"/>
      <w:bookmarkEnd w:id="0"/>
    </w:p>
    <w:sectPr w:rsidR="009100B6" w:rsidRPr="0045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18B0"/>
    <w:multiLevelType w:val="multilevel"/>
    <w:tmpl w:val="9FEC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3E"/>
    <w:rsid w:val="0040403E"/>
    <w:rsid w:val="004522E3"/>
    <w:rsid w:val="0091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E3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2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E3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2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linovskiy@epo.org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buriak@epo.org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hcchina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oo.gl/forms/LNTvVgxCjE9UEg4R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nisef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2017-06-15T06:16:00Z</dcterms:created>
  <dcterms:modified xsi:type="dcterms:W3CDTF">2017-06-15T06:17:00Z</dcterms:modified>
</cp:coreProperties>
</file>