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B1" w:rsidRDefault="00A54D10">
      <w:pPr>
        <w:pStyle w:val="Standard"/>
        <w:ind w:right="-2"/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42879" cy="716761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716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36B1" w:rsidRDefault="003436B1">
      <w:pPr>
        <w:pStyle w:val="Standard"/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3436B1" w:rsidRDefault="00A54D10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ЛУГАНСЬКА ОБЛАСНА ДЕРЖАВНА АДМІНІСТРАЦІЯ</w:t>
      </w:r>
    </w:p>
    <w:p w:rsidR="003436B1" w:rsidRDefault="00A54D10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3436B1" w:rsidRDefault="00A54D10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3436B1" w:rsidRDefault="00A54D10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голови обласної державної адміністрації –</w:t>
      </w:r>
    </w:p>
    <w:p w:rsidR="003436B1" w:rsidRDefault="00A54D10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керівника обласної </w:t>
      </w:r>
      <w:r>
        <w:rPr>
          <w:rFonts w:ascii="Times New Roman" w:hAnsi="Times New Roman"/>
          <w:b/>
          <w:color w:val="000000"/>
          <w:sz w:val="28"/>
          <w:szCs w:val="28"/>
        </w:rPr>
        <w:t>військово-цивільної адміністрації</w:t>
      </w:r>
    </w:p>
    <w:p w:rsidR="003436B1" w:rsidRDefault="003436B1">
      <w:pPr>
        <w:pStyle w:val="Standard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36B1" w:rsidRDefault="003436B1">
      <w:pPr>
        <w:pStyle w:val="Standard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36B1" w:rsidRDefault="00A54D10">
      <w:pPr>
        <w:pStyle w:val="Standard"/>
        <w:tabs>
          <w:tab w:val="left" w:pos="3960"/>
        </w:tabs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Сєвєродонецьк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№</w:t>
      </w:r>
      <w:r>
        <w:rPr>
          <w:rFonts w:ascii="Times New Roman" w:hAnsi="Times New Roman"/>
          <w:b/>
          <w:color w:val="000000"/>
          <w:sz w:val="24"/>
          <w:szCs w:val="24"/>
        </w:rPr>
        <w:t>___________</w:t>
      </w: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Порядку фінансування витрат на поховання або відшкодування витрат на здійснене поховання померлих (загиблих) учасників бойових дій та осіб </w:t>
      </w:r>
      <w:r>
        <w:rPr>
          <w:rFonts w:ascii="Times New Roman" w:hAnsi="Times New Roman"/>
          <w:b/>
          <w:sz w:val="28"/>
          <w:szCs w:val="28"/>
        </w:rPr>
        <w:t xml:space="preserve">з інвалідністю внаслідок війни за рахунок коштів обласного бюджету Луганської області </w:t>
      </w:r>
    </w:p>
    <w:p w:rsidR="003436B1" w:rsidRDefault="003436B1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spacing w:line="228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iCs/>
          <w:color w:val="000000"/>
          <w:sz w:val="28"/>
          <w:szCs w:val="28"/>
        </w:rPr>
        <w:t>підпунктом «а» пункту 4 частини першої</w:t>
      </w:r>
      <w:r>
        <w:rPr>
          <w:rFonts w:ascii="Calibri" w:hAnsi="Calibri"/>
          <w:i/>
          <w:iCs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статті 90 Бюджетного кодексу України (із змінами), статтями 6, 23, 41 Закону України «Про місцеві державні адміністраці</w:t>
      </w:r>
      <w:r>
        <w:rPr>
          <w:rFonts w:ascii="Times New Roman" w:hAnsi="Times New Roman"/>
          <w:sz w:val="28"/>
          <w:szCs w:val="28"/>
        </w:rPr>
        <w:t>ї» (із змінами), статтями 12, 14 Закону України «Про поховання та похоронну справу» (із змінами), відповідно до пункту 8 Порядку проведення безоплатного поховання померлих (загиблих) осіб, які мають особливі заслуги та особливі трудові заслуги перед Батькі</w:t>
      </w:r>
      <w:r>
        <w:rPr>
          <w:rFonts w:ascii="Times New Roman" w:hAnsi="Times New Roman"/>
          <w:sz w:val="28"/>
          <w:szCs w:val="28"/>
        </w:rPr>
        <w:t>вщиною, учасників бойових дій і осіб з інвалідністю внаслідок війни, затвердженого постановою Кабінету Міністрів України  від 28 жовтня 2004 року № 1445 (із змінами), з метою реалізації державної програми соціального захисту та необхідністю визначення меха</w:t>
      </w:r>
      <w:r>
        <w:rPr>
          <w:rFonts w:ascii="Times New Roman" w:hAnsi="Times New Roman"/>
          <w:sz w:val="28"/>
          <w:szCs w:val="28"/>
        </w:rPr>
        <w:t>нізму фінансування витрат на поховання або відшкодування витрат на здійснене поховання померлих (загиблих) учасників бойових дій та осіб з інвалідністю внаслідок війни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36B1" w:rsidRDefault="00A54D10">
      <w:pPr>
        <w:pStyle w:val="Standard"/>
        <w:tabs>
          <w:tab w:val="left" w:pos="567"/>
        </w:tabs>
        <w:spacing w:line="228" w:lineRule="auto"/>
        <w:jc w:val="both"/>
      </w:pPr>
      <w:r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sz w:val="28"/>
          <w:szCs w:val="28"/>
        </w:rPr>
        <w:t>:</w:t>
      </w:r>
    </w:p>
    <w:p w:rsidR="003436B1" w:rsidRDefault="003436B1">
      <w:pPr>
        <w:pStyle w:val="Standard"/>
        <w:tabs>
          <w:tab w:val="left" w:pos="567"/>
        </w:tabs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spacing w:line="228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 Затвердити Порядок фінансування витрат на поховання або відшкодування в</w:t>
      </w:r>
      <w:r>
        <w:rPr>
          <w:rFonts w:ascii="Times New Roman" w:hAnsi="Times New Roman"/>
          <w:sz w:val="28"/>
          <w:szCs w:val="28"/>
        </w:rPr>
        <w:t>итрат на здійснене поховання померлих (загиблих)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учасників бойових дій та осіб з інвалідністю внаслідок війни за рахунок коштів обласного бюджету Луганської області, що додається.</w:t>
      </w:r>
    </w:p>
    <w:p w:rsidR="003436B1" w:rsidRDefault="003436B1">
      <w:pPr>
        <w:pStyle w:val="Standar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розпорядження голови обласної держав</w:t>
      </w:r>
      <w:r>
        <w:rPr>
          <w:rFonts w:ascii="Times New Roman" w:hAnsi="Times New Roman"/>
          <w:sz w:val="28"/>
          <w:szCs w:val="28"/>
        </w:rPr>
        <w:t xml:space="preserve">ної адміністрації від 20 грудня 2010 року № 1569 «Про затвердження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Порядку фінансування витрат на безоплатне поховання або відшкодування витрат на здійснене поховання померлих (загиблих) учасників бойових дій та інвалідів війни», зареєстроване у Головному </w:t>
      </w:r>
      <w:r>
        <w:rPr>
          <w:rFonts w:ascii="Times New Roman" w:hAnsi="Times New Roman"/>
          <w:sz w:val="28"/>
          <w:szCs w:val="28"/>
        </w:rPr>
        <w:t>управлінні юстиції у Луганській області 22 грудня 2010 року за № 110/1088.</w:t>
      </w:r>
    </w:p>
    <w:p w:rsidR="003436B1" w:rsidRDefault="003436B1">
      <w:pPr>
        <w:pStyle w:val="Standar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Розпорядження набирає чинності з дня його офіційного опублікування.</w:t>
      </w:r>
    </w:p>
    <w:p w:rsidR="003436B1" w:rsidRDefault="003436B1">
      <w:pPr>
        <w:pStyle w:val="Standar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4. Департаменту соціального захисту населення Луганської обласної державної адміністрації забезпечити опублі</w:t>
      </w:r>
      <w:r>
        <w:rPr>
          <w:rFonts w:ascii="Times New Roman" w:hAnsi="Times New Roman"/>
          <w:sz w:val="28"/>
          <w:szCs w:val="28"/>
        </w:rPr>
        <w:t>кування цього розпорядження в установленому законодавством порядку.</w:t>
      </w:r>
    </w:p>
    <w:p w:rsidR="003436B1" w:rsidRDefault="003436B1">
      <w:pPr>
        <w:pStyle w:val="Standard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A54D10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>Голова обласної державної</w:t>
      </w:r>
    </w:p>
    <w:p w:rsidR="003436B1" w:rsidRDefault="00A54D10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адміністрації – керівника обласної</w:t>
      </w:r>
    </w:p>
    <w:p w:rsidR="003436B1" w:rsidRDefault="00A54D10">
      <w:pPr>
        <w:pStyle w:val="Standard"/>
        <w:tabs>
          <w:tab w:val="left" w:pos="567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військово-цивільної адміністрації                             </w:t>
      </w:r>
      <w:r>
        <w:rPr>
          <w:rFonts w:ascii="Times New Roman" w:hAnsi="Times New Roman"/>
          <w:b/>
          <w:sz w:val="28"/>
          <w:szCs w:val="28"/>
        </w:rPr>
        <w:t>Віталій КОМАРНИЦЬКИЙ</w:t>
      </w: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436B1" w:rsidRDefault="003436B1">
      <w:pPr>
        <w:pStyle w:val="Standard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sectPr w:rsidR="003436B1">
      <w:headerReference w:type="default" r:id="rId9"/>
      <w:pgSz w:w="11906" w:h="16838"/>
      <w:pgMar w:top="323" w:right="51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D10">
      <w:pPr>
        <w:spacing w:after="0"/>
      </w:pPr>
      <w:r>
        <w:separator/>
      </w:r>
    </w:p>
  </w:endnote>
  <w:endnote w:type="continuationSeparator" w:id="0">
    <w:p w:rsidR="00000000" w:rsidRDefault="00A54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D1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A54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E0" w:rsidRDefault="00A54D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A37"/>
    <w:multiLevelType w:val="multilevel"/>
    <w:tmpl w:val="BF080DE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CD16E8"/>
    <w:multiLevelType w:val="multilevel"/>
    <w:tmpl w:val="CCC2AA6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36B1"/>
    <w:rsid w:val="003436B1"/>
    <w:rsid w:val="00A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a">
    <w:name w:val="Верхний колонтитул Знак"/>
    <w:basedOn w:val="a0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b">
    <w:name w:val="Нижний колонтитул Знак"/>
    <w:basedOn w:val="a0"/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a">
    <w:name w:val="Верхний колонтитул Знак"/>
    <w:basedOn w:val="a0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b">
    <w:name w:val="Нижний колонтитул Знак"/>
    <w:basedOn w:val="a0"/>
    <w:rPr>
      <w:rFonts w:ascii="Antiqua" w:eastAsia="Times New Roman" w:hAnsi="Antiqua" w:cs="Times New Roman"/>
      <w:sz w:val="26"/>
      <w:szCs w:val="20"/>
      <w:lang w:val="uk-UA"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2019-08-05T14:01:00Z</cp:lastPrinted>
  <dcterms:created xsi:type="dcterms:W3CDTF">2019-08-06T07:03:00Z</dcterms:created>
  <dcterms:modified xsi:type="dcterms:W3CDTF">2019-08-06T07:03:00Z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