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51" w:rsidRDefault="00A54FF8">
      <w:pPr>
        <w:pStyle w:val="a5"/>
        <w:spacing w:before="0" w:after="240" w:line="360" w:lineRule="auto"/>
        <w:ind w:left="567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ЗАТВЕРДЖЕНО</w:t>
      </w:r>
    </w:p>
    <w:p w:rsidR="00263A51" w:rsidRDefault="00A54FF8">
      <w:pPr>
        <w:pStyle w:val="a5"/>
        <w:spacing w:before="0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голови обласної</w:t>
      </w:r>
    </w:p>
    <w:p w:rsidR="00263A51" w:rsidRDefault="00A54FF8">
      <w:pPr>
        <w:pStyle w:val="a5"/>
        <w:spacing w:before="0" w:after="240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державної адміністрації –                      керівника обласної військово-                цивільної адміністрації</w:t>
      </w:r>
    </w:p>
    <w:p w:rsidR="00263A51" w:rsidRDefault="00A54FF8">
      <w:pPr>
        <w:pStyle w:val="Standard"/>
        <w:tabs>
          <w:tab w:val="left" w:pos="8364"/>
          <w:tab w:val="left" w:pos="8931"/>
        </w:tabs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________________№ _____</w:t>
      </w:r>
    </w:p>
    <w:p w:rsidR="00263A51" w:rsidRDefault="00263A51">
      <w:pPr>
        <w:pStyle w:val="Standard"/>
        <w:spacing w:line="36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26"/>
          <w:szCs w:val="26"/>
          <w:lang w:val="uk-UA"/>
        </w:rPr>
      </w:pPr>
    </w:p>
    <w:p w:rsidR="00263A51" w:rsidRDefault="00263A51">
      <w:pPr>
        <w:pStyle w:val="ae"/>
        <w:rPr>
          <w:rFonts w:ascii="Times New Roman" w:hAnsi="Times New Roman" w:cs="Times New Roman"/>
          <w:sz w:val="16"/>
          <w:szCs w:val="16"/>
          <w:lang w:val="uk-UA"/>
        </w:rPr>
      </w:pPr>
    </w:p>
    <w:p w:rsidR="00263A51" w:rsidRDefault="00A54F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263A51" w:rsidRDefault="00A54F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витрат на поховання або відшкодування витрат на здійснене поховання померлих (загиблих) учасників бойових дій та осіб з інвалідністю внаслідок війни за рахунок коштів обласного бюджету Луганської області</w:t>
      </w:r>
    </w:p>
    <w:p w:rsidR="00263A51" w:rsidRDefault="00263A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63A51" w:rsidRDefault="00A54FF8">
      <w:pPr>
        <w:pStyle w:val="Standard"/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Цей Порядок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 механізм фінансування витрат на поховання або відшкодування витрат на здійснене поховання померлих (загиблих) учасників бойових дій та осіб з інвалідністю внаслідок війни (далі ‒ померлі) за рахунок коштів обласного бюджету Луганської області.</w:t>
      </w:r>
    </w:p>
    <w:p w:rsidR="00263A51" w:rsidRDefault="00263A51">
      <w:pPr>
        <w:pStyle w:val="a6"/>
        <w:tabs>
          <w:tab w:val="left" w:pos="567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63A51" w:rsidRDefault="00A54FF8">
      <w:pPr>
        <w:pStyle w:val="a6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Головним розпорядником коштів обласного бюджету на фінансування витрат на поховання або відшкодування витрат на здійснене поховання померлих, є Департамент соціального захисту населення Луганської обласної державної адміністрації (далі – Департамент).</w:t>
      </w:r>
    </w:p>
    <w:p w:rsidR="00263A51" w:rsidRDefault="00263A51">
      <w:pPr>
        <w:pStyle w:val="Standard"/>
        <w:tabs>
          <w:tab w:val="left" w:pos="1134"/>
        </w:tabs>
        <w:spacing w:after="0" w:line="22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63A51" w:rsidRDefault="00A54FF8">
      <w:pPr>
        <w:pStyle w:val="Standard"/>
        <w:shd w:val="clear" w:color="auto" w:fill="FFFFFF"/>
        <w:tabs>
          <w:tab w:val="left" w:pos="1134"/>
        </w:tabs>
        <w:spacing w:after="0" w:line="228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иконавцю волевиявлення або особі, що зобов’язалася поховати померлого, (далі – замовник)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надаються безоплатно послуги,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визначені у підпункті 2 пункту 3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проведення безоплатного поховання померлих (загиблих) осіб, які мають особливі заслуги та особ</w:t>
      </w:r>
      <w:r>
        <w:rPr>
          <w:rFonts w:ascii="Times New Roman" w:hAnsi="Times New Roman" w:cs="Times New Roman"/>
          <w:sz w:val="28"/>
          <w:szCs w:val="28"/>
          <w:lang w:val="uk-UA"/>
        </w:rPr>
        <w:t>ливі трудові заслуги перед Батьківщиною, учасників бойових дій і осіб з інвалідністю внаслідок війни, затвердженого постановою Кабінету Міністрів України від 28 жовтня 2004 року № 1445 (із змінами).</w:t>
      </w:r>
    </w:p>
    <w:p w:rsidR="00263A51" w:rsidRDefault="00263A51">
      <w:pPr>
        <w:pStyle w:val="Standard"/>
        <w:shd w:val="clear" w:color="auto" w:fill="FFFFFF"/>
        <w:tabs>
          <w:tab w:val="left" w:pos="1134"/>
        </w:tabs>
        <w:spacing w:after="0" w:line="228" w:lineRule="auto"/>
        <w:ind w:firstLine="567"/>
        <w:jc w:val="both"/>
        <w:rPr>
          <w:sz w:val="32"/>
          <w:szCs w:val="32"/>
          <w:lang w:val="uk-UA"/>
        </w:rPr>
      </w:pPr>
    </w:p>
    <w:p w:rsidR="00263A51" w:rsidRDefault="00A54FF8">
      <w:pPr>
        <w:pStyle w:val="Standard"/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Додаткові ритуальні послуги оплачуються замовником.</w:t>
      </w:r>
    </w:p>
    <w:p w:rsidR="00263A51" w:rsidRDefault="00263A51">
      <w:pPr>
        <w:pStyle w:val="Standard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A51" w:rsidRDefault="00A54FF8">
      <w:pPr>
        <w:pStyle w:val="Standard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Фінансування витрат на поховання померлих здійснюється ритуальній службі, сільському голові, суб’єкту господарської діяльності, який уклав договір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із сільським головою або ритуальною службою про надання ритуальних послуг, (далі – виконавець ритуальних п</w:t>
      </w:r>
      <w:r>
        <w:rPr>
          <w:rFonts w:ascii="Times New Roman" w:hAnsi="Times New Roman" w:cs="Times New Roman"/>
          <w:sz w:val="28"/>
          <w:szCs w:val="28"/>
          <w:lang w:val="uk-UA"/>
        </w:rPr>
        <w:t>ослуг).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Для отримання фінансування витрат на поховання померлого виконавець ритуальних послуг надає структурним підрозділам територіальних органів соціального захисту населення Луганської області (далі – соціальні органи) такі документи: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</w:pPr>
      <w:bookmarkStart w:id="1" w:name="n26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копію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договору-замовлення на організацію та проведення поховання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n27"/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2) копію свідоцтва про смерть;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</w:pPr>
      <w:bookmarkStart w:id="3" w:name="n28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3) копію документа, що підтверджує статус особи померлого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4) акт виконаних робіт;</w:t>
      </w:r>
      <w:bookmarkStart w:id="4" w:name="n29"/>
      <w:bookmarkEnd w:id="4"/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n30"/>
      <w:bookmarkEnd w:id="5"/>
    </w:p>
    <w:p w:rsidR="00263A51" w:rsidRDefault="00A54FF8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довідку з банку про реквізити банківського рахунку для зарахування коштів.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263A51" w:rsidRDefault="00A54FF8">
      <w:pPr>
        <w:pStyle w:val="ae"/>
        <w:ind w:firstLine="567"/>
        <w:jc w:val="both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7. Витрати на здійснене поховання померлих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відшкодовуються замовнику, для чого він надає соціальним органам такі документи: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заяву про відшкодування витрат на поховання померлого (у довільній формі) з обов’язковим зазначенням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реквізитів банківського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хунку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зарахування коштів;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34"/>
      <w:bookmarkEnd w:id="6"/>
    </w:p>
    <w:p w:rsidR="00263A51" w:rsidRDefault="00A54FF8">
      <w:pPr>
        <w:pStyle w:val="ae"/>
        <w:ind w:firstLine="567"/>
        <w:jc w:val="both"/>
      </w:pPr>
      <w:bookmarkStart w:id="7" w:name="n35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копію договору-замовлення на організацію та проведення поховання;</w:t>
      </w:r>
    </w:p>
    <w:p w:rsidR="00263A51" w:rsidRDefault="00263A5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копію паспорта;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копію реєстраційного номера облікової картки платника податків (крім осіб, які через свої релігійні переконання відмовилися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 реєстраційного номера облікової картки платника податків та повідомили про це відповідний контролюючий орган та мають відмітку в паспорті), такі особи подають копію такої відмітки в паспорті;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8" w:name="n36"/>
      <w:bookmarkEnd w:id="8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5) копію свідоцтва про смерть;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9" w:name="n37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6) копію документа,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 підтверджує статус особи померлого;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7) копії платіжних документів, що підтверджують факт здійснення поховання за власний рахунок.</w:t>
      </w:r>
    </w:p>
    <w:p w:rsidR="00263A51" w:rsidRDefault="00263A51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63A51" w:rsidRDefault="00A54FF8">
      <w:pPr>
        <w:pStyle w:val="ae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Збір та обробка персональних даних здійснюється відповідно до Закону України «Про захист персональних даних» (із </w:t>
      </w:r>
      <w:r>
        <w:rPr>
          <w:rFonts w:ascii="Times New Roman" w:hAnsi="Times New Roman" w:cs="Times New Roman"/>
          <w:sz w:val="28"/>
          <w:szCs w:val="28"/>
          <w:lang w:val="uk-UA"/>
        </w:rPr>
        <w:t>змінами).</w:t>
      </w:r>
    </w:p>
    <w:p w:rsidR="00263A51" w:rsidRDefault="00263A51">
      <w:pPr>
        <w:pStyle w:val="ae"/>
        <w:spacing w:line="228" w:lineRule="auto"/>
        <w:ind w:firstLine="567"/>
        <w:jc w:val="both"/>
      </w:pPr>
    </w:p>
    <w:p w:rsidR="00263A51" w:rsidRDefault="00A54F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bookmarkStart w:id="10" w:name="49"/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фінансування витрат на поховання або відшкодування витрат на здійсненне поховання померлих складає 1,5 прожиткового мінімуму на одну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особу в розрахунку на місяць установленого з 01 січня поточного року, але не більше фактичних витрат н</w:t>
      </w:r>
      <w:r>
        <w:rPr>
          <w:rFonts w:ascii="Times New Roman" w:hAnsi="Times New Roman" w:cs="Times New Roman"/>
          <w:sz w:val="28"/>
          <w:szCs w:val="28"/>
          <w:lang w:val="uk-UA"/>
        </w:rPr>
        <w:t>а поховання або відшкодування витрат на здійснене поховання померлих.</w:t>
      </w:r>
    </w:p>
    <w:p w:rsidR="00263A51" w:rsidRPr="00A54FF8" w:rsidRDefault="00A54FF8">
      <w:pPr>
        <w:pStyle w:val="ae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Соціальні органи до 18 числа поточного місяця надають Департаменту заявку на фінансування витрат на поховання або відшкодування витрат на здійснене поховання учасників бойових дій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 внаслідок війни (далі – заявка) за формою, наведеною у додатку 1 до цього Порядку.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3A51" w:rsidRDefault="00A54FF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Департамент протягом двох днів з моменту отримання заявки надає Департаменту фінансів Луганської обласної державної адміністрації заявку на</w:t>
      </w:r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витрат на поховання або відшкодування витрат на здійснене поховання учасників бойових дій та осіб з інвалідністю внаслідок війни за формою, наведеною у додатку 2 до цього Порядку.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1" w:name="51"/>
    </w:p>
    <w:bookmarkEnd w:id="11"/>
    <w:p w:rsidR="00263A51" w:rsidRDefault="00A54FF8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bookmarkStart w:id="12" w:name="5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протягом трьох робочих днів після отримання коштів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поховання або відшкодування витрат на здійснене поховання померлих перераховує кошти на рахунки соціальних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A51" w:rsidRDefault="00263A51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3A51" w:rsidRPr="00A54FF8" w:rsidRDefault="00A54FF8">
      <w:pPr>
        <w:pStyle w:val="ae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Соціальні органи протягом трьох робочих днів після отримання коштів на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поховання або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шкодування витрат на здійснене поховання померлих перераховують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кошти на банківські рахунки виконавця ритуальних послуг та замовника.</w:t>
      </w:r>
      <w:bookmarkStart w:id="13" w:name="54"/>
      <w:bookmarkEnd w:id="12"/>
    </w:p>
    <w:bookmarkEnd w:id="13"/>
    <w:p w:rsidR="00263A51" w:rsidRDefault="00263A51">
      <w:pPr>
        <w:pStyle w:val="Standard"/>
        <w:spacing w:after="0" w:line="240" w:lineRule="auto"/>
        <w:rPr>
          <w:lang w:val="uk-UA"/>
        </w:rPr>
      </w:pPr>
    </w:p>
    <w:p w:rsidR="00263A51" w:rsidRDefault="00263A51">
      <w:pPr>
        <w:pStyle w:val="Standard"/>
        <w:spacing w:after="0" w:line="240" w:lineRule="auto"/>
        <w:jc w:val="both"/>
        <w:rPr>
          <w:lang w:val="uk-UA"/>
        </w:rPr>
      </w:pPr>
    </w:p>
    <w:p w:rsidR="00263A51" w:rsidRDefault="00A54F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соціального</w:t>
      </w:r>
    </w:p>
    <w:p w:rsidR="00263A51" w:rsidRDefault="00A54F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 Луганської</w:t>
      </w:r>
    </w:p>
    <w:p w:rsidR="00263A51" w:rsidRDefault="00A54FF8">
      <w:pPr>
        <w:pStyle w:val="Standard"/>
        <w:tabs>
          <w:tab w:val="left" w:pos="708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Олена ПОЛІЩУК</w:t>
      </w:r>
    </w:p>
    <w:p w:rsidR="00263A51" w:rsidRDefault="00263A51">
      <w:pPr>
        <w:pStyle w:val="Standard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63A51">
      <w:headerReference w:type="default" r:id="rId8"/>
      <w:pgSz w:w="11906" w:h="16838"/>
      <w:pgMar w:top="1134" w:right="510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FF8">
      <w:pPr>
        <w:spacing w:after="0" w:line="240" w:lineRule="auto"/>
      </w:pPr>
      <w:r>
        <w:separator/>
      </w:r>
    </w:p>
  </w:endnote>
  <w:endnote w:type="continuationSeparator" w:id="0">
    <w:p w:rsidR="00000000" w:rsidRDefault="00A5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F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5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29" w:rsidRDefault="00A54FF8">
    <w:pPr>
      <w:pStyle w:val="a7"/>
      <w:jc w:val="center"/>
    </w:pPr>
    <w:r>
      <w:rPr>
        <w:rFonts w:ascii="Times New Roman" w:hAnsi="Times New Roman"/>
        <w:sz w:val="26"/>
        <w:szCs w:val="26"/>
        <w:lang w:val="uk-UA"/>
      </w:rPr>
      <w:fldChar w:fldCharType="begin"/>
    </w:r>
    <w:r>
      <w:rPr>
        <w:rFonts w:ascii="Times New Roman" w:hAnsi="Times New Roman"/>
        <w:sz w:val="26"/>
        <w:szCs w:val="26"/>
        <w:lang w:val="uk-UA"/>
      </w:rPr>
      <w:instrText xml:space="preserve"> PAGE </w:instrText>
    </w:r>
    <w:r>
      <w:rPr>
        <w:rFonts w:ascii="Times New Roman" w:hAnsi="Times New Roman"/>
        <w:sz w:val="26"/>
        <w:szCs w:val="26"/>
        <w:lang w:val="uk-UA"/>
      </w:rPr>
      <w:fldChar w:fldCharType="separate"/>
    </w:r>
    <w:r>
      <w:rPr>
        <w:rFonts w:ascii="Times New Roman" w:hAnsi="Times New Roman"/>
        <w:noProof/>
        <w:sz w:val="26"/>
        <w:szCs w:val="26"/>
        <w:lang w:val="uk-UA"/>
      </w:rPr>
      <w:t>3</w:t>
    </w:r>
    <w:r>
      <w:rPr>
        <w:rFonts w:ascii="Times New Roman" w:hAnsi="Times New Roman"/>
        <w:sz w:val="26"/>
        <w:szCs w:val="26"/>
        <w:lang w:val="uk-U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3BE"/>
    <w:multiLevelType w:val="multilevel"/>
    <w:tmpl w:val="38F45E5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D94277"/>
    <w:multiLevelType w:val="multilevel"/>
    <w:tmpl w:val="4006BBBC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6412A86"/>
    <w:multiLevelType w:val="multilevel"/>
    <w:tmpl w:val="216CB55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107866"/>
    <w:multiLevelType w:val="multilevel"/>
    <w:tmpl w:val="752ED6B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B40627"/>
    <w:multiLevelType w:val="multilevel"/>
    <w:tmpl w:val="577E03FA"/>
    <w:styleLink w:val="WWNum8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39A1C1E"/>
    <w:multiLevelType w:val="multilevel"/>
    <w:tmpl w:val="CEAC43D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39D1F5D"/>
    <w:multiLevelType w:val="multilevel"/>
    <w:tmpl w:val="E216ECD4"/>
    <w:styleLink w:val="WWNum2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rPr>
        <w:spacing w:val="0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16004027"/>
    <w:multiLevelType w:val="multilevel"/>
    <w:tmpl w:val="BA04CC88"/>
    <w:styleLink w:val="WWNum24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A0A28EE"/>
    <w:multiLevelType w:val="multilevel"/>
    <w:tmpl w:val="F4B2F3F6"/>
    <w:styleLink w:val="WWNum16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EAF67D5"/>
    <w:multiLevelType w:val="multilevel"/>
    <w:tmpl w:val="4BCA0BB2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0690686"/>
    <w:multiLevelType w:val="multilevel"/>
    <w:tmpl w:val="DF5C4F3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29740E6"/>
    <w:multiLevelType w:val="multilevel"/>
    <w:tmpl w:val="D0FA8F4C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>
    <w:nsid w:val="22E02BC6"/>
    <w:multiLevelType w:val="multilevel"/>
    <w:tmpl w:val="F2761C1C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47851DD"/>
    <w:multiLevelType w:val="multilevel"/>
    <w:tmpl w:val="A4969C36"/>
    <w:styleLink w:val="WWNum26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>
    <w:nsid w:val="28A57DCD"/>
    <w:multiLevelType w:val="multilevel"/>
    <w:tmpl w:val="DF160630"/>
    <w:styleLink w:val="WWNum27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>
    <w:nsid w:val="31653E25"/>
    <w:multiLevelType w:val="multilevel"/>
    <w:tmpl w:val="8CBC7DCA"/>
    <w:styleLink w:val="WWNum20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47A65F9"/>
    <w:multiLevelType w:val="multilevel"/>
    <w:tmpl w:val="AA12E3F6"/>
    <w:styleLink w:val="WWNum1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>
    <w:nsid w:val="35956581"/>
    <w:multiLevelType w:val="multilevel"/>
    <w:tmpl w:val="BDD634D2"/>
    <w:styleLink w:val="WW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>
    <w:nsid w:val="3BB849D1"/>
    <w:multiLevelType w:val="multilevel"/>
    <w:tmpl w:val="2AF8F436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0F25662"/>
    <w:multiLevelType w:val="multilevel"/>
    <w:tmpl w:val="5F6AEB0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2D05930"/>
    <w:multiLevelType w:val="multilevel"/>
    <w:tmpl w:val="9880159C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>
    <w:nsid w:val="491436ED"/>
    <w:multiLevelType w:val="multilevel"/>
    <w:tmpl w:val="B88A32E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A1D796B"/>
    <w:multiLevelType w:val="multilevel"/>
    <w:tmpl w:val="B0427A6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AAB451D"/>
    <w:multiLevelType w:val="multilevel"/>
    <w:tmpl w:val="65166282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4">
    <w:nsid w:val="4DC82510"/>
    <w:multiLevelType w:val="multilevel"/>
    <w:tmpl w:val="00F4D04C"/>
    <w:styleLink w:val="WWNum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>
    <w:nsid w:val="4EF857A7"/>
    <w:multiLevelType w:val="multilevel"/>
    <w:tmpl w:val="E8546E0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18D5E1B"/>
    <w:multiLevelType w:val="multilevel"/>
    <w:tmpl w:val="D4EE2CFE"/>
    <w:styleLink w:val="WWNum18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4CF42A6"/>
    <w:multiLevelType w:val="multilevel"/>
    <w:tmpl w:val="288CEAEA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58D3EB7"/>
    <w:multiLevelType w:val="multilevel"/>
    <w:tmpl w:val="416AF90C"/>
    <w:styleLink w:val="WWNum36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A6B13E1"/>
    <w:multiLevelType w:val="multilevel"/>
    <w:tmpl w:val="81A4F60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D8F74DE"/>
    <w:multiLevelType w:val="multilevel"/>
    <w:tmpl w:val="81BC95D2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F5F0F25"/>
    <w:multiLevelType w:val="multilevel"/>
    <w:tmpl w:val="740095B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254039C"/>
    <w:multiLevelType w:val="multilevel"/>
    <w:tmpl w:val="587E6500"/>
    <w:styleLink w:val="WW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0E427EA"/>
    <w:multiLevelType w:val="multilevel"/>
    <w:tmpl w:val="045225C0"/>
    <w:styleLink w:val="WW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4">
    <w:nsid w:val="73C51527"/>
    <w:multiLevelType w:val="multilevel"/>
    <w:tmpl w:val="4A4832C8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5">
    <w:nsid w:val="7C5A4B98"/>
    <w:multiLevelType w:val="multilevel"/>
    <w:tmpl w:val="89DE8348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D127D49"/>
    <w:multiLevelType w:val="multilevel"/>
    <w:tmpl w:val="58820CA6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1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29"/>
  </w:num>
  <w:num w:numId="8">
    <w:abstractNumId w:val="4"/>
  </w:num>
  <w:num w:numId="9">
    <w:abstractNumId w:val="0"/>
  </w:num>
  <w:num w:numId="10">
    <w:abstractNumId w:val="11"/>
  </w:num>
  <w:num w:numId="11">
    <w:abstractNumId w:val="33"/>
  </w:num>
  <w:num w:numId="12">
    <w:abstractNumId w:val="24"/>
  </w:num>
  <w:num w:numId="13">
    <w:abstractNumId w:val="16"/>
  </w:num>
  <w:num w:numId="14">
    <w:abstractNumId w:val="2"/>
  </w:num>
  <w:num w:numId="15">
    <w:abstractNumId w:val="5"/>
  </w:num>
  <w:num w:numId="16">
    <w:abstractNumId w:val="8"/>
  </w:num>
  <w:num w:numId="17">
    <w:abstractNumId w:val="31"/>
  </w:num>
  <w:num w:numId="18">
    <w:abstractNumId w:val="26"/>
  </w:num>
  <w:num w:numId="19">
    <w:abstractNumId w:val="21"/>
  </w:num>
  <w:num w:numId="20">
    <w:abstractNumId w:val="15"/>
  </w:num>
  <w:num w:numId="21">
    <w:abstractNumId w:val="3"/>
  </w:num>
  <w:num w:numId="22">
    <w:abstractNumId w:val="32"/>
  </w:num>
  <w:num w:numId="23">
    <w:abstractNumId w:val="10"/>
  </w:num>
  <w:num w:numId="24">
    <w:abstractNumId w:val="7"/>
  </w:num>
  <w:num w:numId="25">
    <w:abstractNumId w:val="6"/>
  </w:num>
  <w:num w:numId="26">
    <w:abstractNumId w:val="13"/>
  </w:num>
  <w:num w:numId="27">
    <w:abstractNumId w:val="14"/>
  </w:num>
  <w:num w:numId="28">
    <w:abstractNumId w:val="25"/>
  </w:num>
  <w:num w:numId="29">
    <w:abstractNumId w:val="1"/>
  </w:num>
  <w:num w:numId="30">
    <w:abstractNumId w:val="27"/>
  </w:num>
  <w:num w:numId="31">
    <w:abstractNumId w:val="30"/>
  </w:num>
  <w:num w:numId="32">
    <w:abstractNumId w:val="9"/>
  </w:num>
  <w:num w:numId="33">
    <w:abstractNumId w:val="36"/>
  </w:num>
  <w:num w:numId="34">
    <w:abstractNumId w:val="18"/>
  </w:num>
  <w:num w:numId="35">
    <w:abstractNumId w:val="12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3A51"/>
    <w:rsid w:val="00263A51"/>
    <w:rsid w:val="00A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Нормальний текст"/>
    <w:basedOn w:val="Standar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pacing w:val="0"/>
    </w:rPr>
  </w:style>
  <w:style w:type="character" w:customStyle="1" w:styleId="NumberingSymbols">
    <w:name w:val="Numbering Symbols"/>
  </w:style>
  <w:style w:type="paragraph" w:styleId="ae">
    <w:name w:val="No Spacing"/>
    <w:pPr>
      <w:suppressAutoHyphens/>
      <w:spacing w:after="0" w:line="240" w:lineRule="auto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Нормальний текст"/>
    <w:basedOn w:val="Standar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pacing w:val="0"/>
    </w:rPr>
  </w:style>
  <w:style w:type="character" w:customStyle="1" w:styleId="NumberingSymbols">
    <w:name w:val="Numbering Symbols"/>
  </w:style>
  <w:style w:type="paragraph" w:styleId="ae">
    <w:name w:val="No Spacing"/>
    <w:pPr>
      <w:suppressAutoHyphens/>
      <w:spacing w:after="0" w:line="240" w:lineRule="auto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2019-08-05T14:19:00Z</cp:lastPrinted>
  <dcterms:created xsi:type="dcterms:W3CDTF">2019-08-06T07:02:00Z</dcterms:created>
  <dcterms:modified xsi:type="dcterms:W3CDTF">2019-08-06T07:02:00Z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