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C1" w:rsidRDefault="0074791B" w:rsidP="00F7442A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Заява про визначення обсягу стратегічної екологічної оцінки </w:t>
      </w:r>
    </w:p>
    <w:p w:rsidR="00917BC2" w:rsidRPr="00917BC2" w:rsidRDefault="000D7EC1" w:rsidP="00F7442A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проєкту </w:t>
      </w:r>
      <w:r w:rsidR="006C0437" w:rsidRP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документ</w:t>
      </w:r>
      <w:r w:rsid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</w:t>
      </w:r>
      <w:r w:rsidR="006C0437" w:rsidRP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державного планування </w:t>
      </w:r>
      <w:r w:rsid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«Про внесення </w:t>
      </w:r>
      <w:r w:rsidR="0074791B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змін до Програми економічного і соціального розвитку 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Луганс</w:t>
      </w:r>
      <w:r w:rsidR="0074791B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ької області </w:t>
      </w:r>
    </w:p>
    <w:p w:rsidR="0074791B" w:rsidRPr="00917BC2" w:rsidRDefault="0074791B" w:rsidP="00F7442A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на 202</w:t>
      </w:r>
      <w:r w:rsidR="00D479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4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-202</w:t>
      </w:r>
      <w:r w:rsidR="00D479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7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</w:t>
      </w:r>
      <w:r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р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о</w:t>
      </w:r>
      <w:r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к</w:t>
      </w:r>
      <w:r w:rsidR="00917BC2" w:rsidRPr="00917B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и</w:t>
      </w:r>
      <w:r w:rsidR="006C0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»</w:t>
      </w:r>
    </w:p>
    <w:p w:rsidR="00917BC2" w:rsidRPr="00847BF1" w:rsidRDefault="00917BC2" w:rsidP="00F7442A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val="uk-UA" w:eastAsia="ru-RU"/>
        </w:rPr>
      </w:pPr>
    </w:p>
    <w:p w:rsidR="0074791B" w:rsidRPr="00B64E17" w:rsidRDefault="00917BC2" w:rsidP="00B64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1D1D1B"/>
          <w:sz w:val="28"/>
          <w:szCs w:val="28"/>
          <w:lang w:val="uk-UA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Замовник</w:t>
      </w:r>
      <w:r w:rsidRP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:</w:t>
      </w:r>
      <w:r w:rsidR="00B64E17" w:rsidRP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64E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Департамент економічного розвитку та зовнішньоекономічної діяльності Луганської обласної державної адміністрації</w:t>
      </w:r>
      <w:r w:rsidR="0074791B" w:rsidRPr="00B64E17">
        <w:rPr>
          <w:rFonts w:ascii="Times New Roman" w:hAnsi="Times New Roman" w:cs="Times New Roman"/>
          <w:color w:val="1D1D1B"/>
          <w:sz w:val="28"/>
          <w:szCs w:val="28"/>
          <w:lang w:val="uk-UA"/>
        </w:rPr>
        <w:t>.</w:t>
      </w:r>
    </w:p>
    <w:p w:rsidR="00917BC2" w:rsidRPr="00847BF1" w:rsidRDefault="00917BC2" w:rsidP="00F7442A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16"/>
          <w:szCs w:val="16"/>
          <w:shd w:val="clear" w:color="auto" w:fill="FFFFFF"/>
          <w:lang w:val="uk-UA"/>
        </w:rPr>
      </w:pPr>
    </w:p>
    <w:p w:rsidR="001D744E" w:rsidRDefault="001D744E" w:rsidP="00B64E17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1D744E">
        <w:rPr>
          <w:b/>
          <w:sz w:val="28"/>
          <w:szCs w:val="28"/>
          <w:lang w:val="uk-UA"/>
        </w:rPr>
        <w:t>Назва документа державного планування:</w:t>
      </w:r>
      <w:r w:rsidR="00B64E17">
        <w:rPr>
          <w:b/>
          <w:sz w:val="28"/>
          <w:szCs w:val="28"/>
          <w:lang w:val="uk-UA"/>
        </w:rPr>
        <w:t xml:space="preserve"> </w:t>
      </w:r>
      <w:r w:rsidR="005764E4" w:rsidRPr="00180529">
        <w:rPr>
          <w:color w:val="1D1D1B"/>
          <w:sz w:val="28"/>
          <w:szCs w:val="28"/>
          <w:lang w:val="uk-UA"/>
        </w:rPr>
        <w:t>Про внесення змін до Програми економічного і соціального розвитку Луганської області на 2024-2027 роки,</w:t>
      </w:r>
      <w:r w:rsidR="005764E4" w:rsidRPr="00180529">
        <w:rPr>
          <w:lang w:val="uk-UA"/>
        </w:rPr>
        <w:t xml:space="preserve"> </w:t>
      </w:r>
      <w:r w:rsidR="005764E4" w:rsidRPr="00180529">
        <w:rPr>
          <w:color w:val="1D1D1B"/>
          <w:sz w:val="28"/>
          <w:szCs w:val="28"/>
          <w:lang w:val="uk-UA"/>
        </w:rPr>
        <w:t>затвердженої розпорядженням голови обласної державної адміністрації – начальника обласної військової адміністрації від 25.12.2023 №</w:t>
      </w:r>
      <w:r w:rsidR="003E0867">
        <w:rPr>
          <w:color w:val="1D1D1B"/>
          <w:sz w:val="28"/>
          <w:szCs w:val="28"/>
          <w:lang w:val="uk-UA"/>
        </w:rPr>
        <w:t> </w:t>
      </w:r>
      <w:r w:rsidR="005764E4" w:rsidRPr="00180529">
        <w:rPr>
          <w:color w:val="1D1D1B"/>
          <w:sz w:val="28"/>
          <w:szCs w:val="28"/>
          <w:lang w:val="uk-UA"/>
        </w:rPr>
        <w:t>296 (із змінами).</w:t>
      </w:r>
    </w:p>
    <w:p w:rsidR="00847BF1" w:rsidRPr="00847BF1" w:rsidRDefault="00847BF1" w:rsidP="00847B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16"/>
          <w:szCs w:val="16"/>
          <w:lang w:val="uk-UA" w:eastAsia="ru-RU"/>
        </w:rPr>
      </w:pPr>
    </w:p>
    <w:p w:rsidR="0074791B" w:rsidRPr="00917BC2" w:rsidRDefault="001D744E" w:rsidP="00847B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О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сновні цілі документа державного планування, його зв’язок з іншими документами державного планування</w:t>
      </w:r>
      <w:r w:rsid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:</w:t>
      </w:r>
    </w:p>
    <w:p w:rsidR="0074791B" w:rsidRPr="00917BC2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18052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Програма економічного і соціального розвитку Луганської області на 2024-2027 роки (далі – Програма),</w:t>
      </w:r>
      <w:r w:rsidR="0074791B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із запропонованими до неї змінами, є документом державного планування регіонального рівня, який визначає сукупність взаємоузгоджених завдань і заходів, що будуть реалізуватися місцевими органами виконавчої влади, територіальними органами центральних органів виконавчої влади, органами місцевого самоврядування, підприємствами, установами та організаціями, щодо вирішення нагальних проблем та досягнення стратегічних цілей розвитку регіону в 202</w:t>
      </w:r>
      <w:r w:rsidR="00D479F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4</w:t>
      </w:r>
      <w:r w:rsidR="00AD1578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-2027</w:t>
      </w:r>
      <w:r w:rsidR="0074791B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ро</w:t>
      </w:r>
      <w:r w:rsidR="00AD1578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ках</w:t>
      </w:r>
      <w:r w:rsidR="0074791B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.</w:t>
      </w:r>
    </w:p>
    <w:p w:rsidR="00154B6E" w:rsidRPr="00154B6E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180529">
        <w:rPr>
          <w:rFonts w:ascii="Times New Roman" w:hAnsi="Times New Roman"/>
          <w:color w:val="1D1D1B"/>
          <w:sz w:val="28"/>
          <w:szCs w:val="28"/>
          <w:lang w:val="uk-UA" w:eastAsia="ru-RU"/>
        </w:rPr>
        <w:t xml:space="preserve">Програму розроблено з урахуванням програмних документів, які діють на державному та регіональному рівнях, а саме: </w:t>
      </w:r>
      <w:r w:rsidRPr="00180529">
        <w:rPr>
          <w:rFonts w:ascii="Times New Roman" w:hAnsi="Times New Roman"/>
          <w:sz w:val="28"/>
          <w:szCs w:val="28"/>
          <w:lang w:val="uk-UA" w:eastAsia="uk-UA"/>
        </w:rPr>
        <w:t xml:space="preserve">Державної стратегії регіонального розвитку на 2021-2027 роки, затвердженої постановою Кабінету Міністрів України від 05.08.2020 № 695; Стратегії розвитку Луганської області на 2021-2027 роки, затвердженої розпорядженням голови обласної державної адміністрації – керівника обласної військово-цивільної адміністрації від 26.03.2020 № 246; </w:t>
      </w:r>
      <w:r w:rsidRPr="00180529">
        <w:rPr>
          <w:rFonts w:ascii="Times New Roman" w:hAnsi="Times New Roman"/>
          <w:sz w:val="28"/>
          <w:szCs w:val="28"/>
          <w:lang w:val="uk-UA" w:eastAsia="ru-RU"/>
        </w:rPr>
        <w:t>Національного плану дій з охорони навколишнього природного середовища на період до 2025 року, затвердженого розпорядженням Кабінету Міністрів України від 21.04.2021 № 443-р; Стратегії зрошення та дренажу в Україні на період до 2030 року, схваленої розпорядженням Кабінету Міністрів України від 14.08.2019 № 688-р; Водної стратегії України на період до 2050 року, схваленої розпорядженням Кабінету Міністрів України від 09.12.2022 № 1134-р, та операційного плану її реалізації у 2022-2024 роках, затвердженого цим розпорядженням; Державної стратегії управління лісами України до 2035 року, схваленої розпорядженням Кабінету Міністрів України від 29.12.2021 № 1777-р, та операційним планом її реалізації у 2022-2024 роках, затвердженим цим розпорядженням.</w:t>
      </w:r>
    </w:p>
    <w:p w:rsidR="00B64E17" w:rsidRDefault="0074791B" w:rsidP="00205C9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Зміни, що внос</w:t>
      </w:r>
      <w:r w:rsidR="00154B6E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яться до Програми, передбачають</w:t>
      </w:r>
      <w:r w:rsidR="003E086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збільшення</w:t>
      </w:r>
      <w:r w:rsidR="00FF28F0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38283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обсягів фінансування на зах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о</w:t>
      </w:r>
      <w:r w:rsidR="0038283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д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и</w:t>
      </w:r>
      <w:r w:rsidR="005A4E7E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,</w:t>
      </w:r>
      <w:r w:rsidR="0038283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спрямован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і</w:t>
      </w:r>
      <w:r w:rsidR="0038283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на </w:t>
      </w:r>
      <w:r w:rsidR="00205C9C" w:rsidRPr="00205C9C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підвищення обороноздатності підрозділів сил оборони</w:t>
      </w:r>
      <w:r w:rsidR="003E0867" w:rsidRPr="003E086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3E086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у додатку 2 до Програми.</w:t>
      </w:r>
    </w:p>
    <w:p w:rsidR="0074791B" w:rsidRDefault="00083F79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205C9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Я</w:t>
      </w:r>
      <w:r w:rsidR="0074791B" w:rsidRPr="00205C9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кою мірою документ державного планування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визнача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є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умови для реалізації видів діяльності або об’єктів,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lastRenderedPageBreak/>
        <w:t>розміщення ресурсів):</w:t>
      </w:r>
      <w:r w:rsid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74791B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Даний документ державного планування (зміни до Програми) не передбачає реалізацію видів діяльності або об’єктів, щодо яких законодавством передбачено здійснення процедури оцінки впливу на довкілля.</w:t>
      </w:r>
    </w:p>
    <w:p w:rsidR="00083F79" w:rsidRPr="00847BF1" w:rsidRDefault="00083F79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D1D1B"/>
          <w:sz w:val="16"/>
          <w:szCs w:val="16"/>
          <w:bdr w:val="none" w:sz="0" w:space="0" w:color="auto" w:frame="1"/>
          <w:lang w:val="uk-UA" w:eastAsia="ru-RU"/>
        </w:rPr>
      </w:pPr>
    </w:p>
    <w:p w:rsidR="0074791B" w:rsidRPr="00917BC2" w:rsidRDefault="00691E9A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691E9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Інформація про ймовірні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наслідки:</w:t>
      </w:r>
    </w:p>
    <w:p w:rsidR="0074791B" w:rsidRPr="00917BC2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а)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для довкілля, у то</w:t>
      </w:r>
      <w:r w:rsidR="002C53EF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му числі для здоров’я населення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Виконання стратегічної екологічної оцінки передбачає аналіз та оцінку ймовірних наслідків та ризиків реалізації заходів, прийнятих у Програмі, як на окремі компоненти довкілля (ґрунти, поверхневі та підземні водні ресурси, атмосферне повітря, рослинний та тваринний світ), соціально-економічні умови розвитку території, а також на здоров’я населення.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Реалізація запропонованих змін до Програми не несе ймовірних наслідків для таких складових навколишнього природного середовища як атмосферне повітря, водні ресурси, ґрунт, ландшафт, </w:t>
      </w:r>
      <w:proofErr w:type="spellStart"/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біорізноманіття</w:t>
      </w:r>
      <w:proofErr w:type="spellEnd"/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та рекреаційні зони.</w:t>
      </w:r>
    </w:p>
    <w:p w:rsidR="0074791B" w:rsidRPr="00917BC2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б)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для територій з природоохоронним статусом: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Ймовірні наслідки від об’єктів інфраструктури, що пропонуються відповідно до змін до Програми, на території з природоохоронним статусом (об’єктів природно-заповідного фонду, екологічної мережі, Смарагдової мережі) відсутні.</w:t>
      </w:r>
    </w:p>
    <w:p w:rsidR="0074791B" w:rsidRPr="00917BC2" w:rsidRDefault="002D526C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в) </w:t>
      </w:r>
      <w:r w:rsidR="0074791B"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транскордонні наслідки для довкілля, у тому числі для здоров’я населення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:</w:t>
      </w:r>
    </w:p>
    <w:p w:rsidR="002C53EF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Зважаючи на географічне положення територій, </w:t>
      </w:r>
      <w:r w:rsidR="005266CA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на яких запланована, реалізації </w:t>
      </w:r>
      <w:r w:rsidR="005266C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завдань</w:t>
      </w:r>
      <w:r w:rsidR="005266CA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Програми</w:t>
      </w:r>
      <w:r w:rsidR="005266C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та змін до неї, </w:t>
      </w:r>
      <w:r w:rsidR="005266CA"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транскордонні наслідки для довкілля, у тому числі здоров’я населення, не очікуються</w:t>
      </w:r>
      <w:r w:rsidR="005266C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.</w:t>
      </w:r>
    </w:p>
    <w:p w:rsidR="005266CA" w:rsidRPr="00847BF1" w:rsidRDefault="005266CA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16"/>
          <w:szCs w:val="16"/>
          <w:lang w:val="uk-UA" w:eastAsia="ru-RU"/>
        </w:rPr>
      </w:pP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Виправдані альтернативи, які необхідно розглянути, у тому числі якщо зміни до документа державного планування не буде затверджено</w:t>
      </w:r>
    </w:p>
    <w:p w:rsidR="0074791B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Зважаючи на комплексність рішень змін до Програми, що обумовлюється необхідністю виконання стратегічних цілей Програми, призначених для різних видів </w:t>
      </w:r>
      <w:r w:rsidR="002D526C" w:rsidRPr="0018052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соціальної, рекреаційної та комунікаційної 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діяльності, здійснюється розгляд виправданих альтернатив планованих рішень.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Загальною альтернативою є гіпотетичний (нульовий) сценарій, при якому дані зміни до Програми не затверджуються.</w:t>
      </w:r>
    </w:p>
    <w:p w:rsidR="00B64E17" w:rsidRPr="00917BC2" w:rsidRDefault="00B64E17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Дослідження, які необхідно провести, методи і критерії, що використовуватимуться під час стратегічної екологічної оцінки</w:t>
      </w:r>
    </w:p>
    <w:p w:rsidR="0074791B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Предметом стратегічної екологічної оцінки є зміни до Програми та їх потенційний вплив на стан довкілля та здоров’я населення.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Запропоновані зміни до Програми є незначними і не несуть ймовірних наслідків для стану довкілля та здоров’я населення.</w:t>
      </w: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Заходи, які передбачається розглянути для запобігання, зменшення та пом'якшення негативних наслідків виконання документа державного планування </w:t>
      </w:r>
    </w:p>
    <w:p w:rsidR="0074791B" w:rsidRPr="00083F79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Необхідність перегляду або внесення змін до затверджених заходів і </w:t>
      </w:r>
      <w:r w:rsid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>про</w:t>
      </w:r>
      <w:r w:rsidR="00B4496B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>є</w:t>
      </w:r>
      <w:r w:rsidR="002D526C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>ктів</w:t>
      </w:r>
      <w:r w:rsid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н</w:t>
      </w:r>
      <w:r w:rsidRPr="00083F7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е передбачається.</w:t>
      </w:r>
    </w:p>
    <w:p w:rsidR="0074791B" w:rsidRPr="00083F79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lastRenderedPageBreak/>
        <w:t>Необхідність перегляду або внесення змін до заходів і проєктів, передбачених для здійснення моніторингу наслідків виконання документа державного планування для довкілля, у тому числі для здоров’я населення</w:t>
      </w:r>
      <w:r w:rsidR="00083F79">
        <w:rPr>
          <w:rFonts w:ascii="Times New Roman" w:eastAsia="Times New Roman" w:hAnsi="Times New Roman" w:cs="Times New Roman"/>
          <w:i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н</w:t>
      </w:r>
      <w:r w:rsidRPr="00083F7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е передбачається</w:t>
      </w:r>
      <w:r w:rsidR="002C53EF" w:rsidRPr="00083F7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.</w:t>
      </w:r>
    </w:p>
    <w:p w:rsidR="002C53EF" w:rsidRPr="00847BF1" w:rsidRDefault="002C53EF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16"/>
          <w:szCs w:val="16"/>
          <w:lang w:val="uk-UA" w:eastAsia="ru-RU"/>
        </w:rPr>
      </w:pPr>
    </w:p>
    <w:p w:rsidR="0074791B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Пропозиції щодо структури та змісту звіту про стратегічну екологічну оцінку</w:t>
      </w:r>
      <w:r w:rsidR="00B64E1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: </w:t>
      </w:r>
      <w:r w:rsidR="00B64E17" w:rsidRPr="00B64E17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с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труктура звіту про стратегічну екологічну оцінку має враховувати вимоги статті 11 Закону України «Про стратегічну екологічну оцінку».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2959EA" w:rsidRP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Враховуючи</w:t>
      </w:r>
      <w:r w:rsid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те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, </w:t>
      </w:r>
      <w:r w:rsid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що запропоновані зміни до Програми </w:t>
      </w:r>
      <w:r w:rsidR="002959EA" w:rsidRP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є незначними та те, що до Програми раніше здійснювалася стратегічна</w:t>
      </w:r>
      <w:r w:rsid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2959EA" w:rsidRP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екологічна оцінка, пропонується не здійснювати стратегічну екологічну оцінку цих</w:t>
      </w:r>
      <w:r w:rsid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="002959EA" w:rsidRPr="002959EA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змін</w:t>
      </w: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.</w:t>
      </w:r>
    </w:p>
    <w:p w:rsidR="00F67AF2" w:rsidRPr="00847BF1" w:rsidRDefault="00F67AF2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16"/>
          <w:szCs w:val="16"/>
          <w:lang w:val="uk-UA" w:eastAsia="ru-RU"/>
        </w:rPr>
      </w:pPr>
    </w:p>
    <w:p w:rsidR="0074791B" w:rsidRPr="00917BC2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Орган, до якого подаються зауваження і пропозиції, строки їх подання</w:t>
      </w:r>
    </w:p>
    <w:p w:rsidR="002C53EF" w:rsidRPr="00CC53E5" w:rsidRDefault="0074791B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BC2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Зауваження і пропозиції </w:t>
      </w:r>
      <w:r w:rsidR="002C53EF" w:rsidRPr="002C53E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подаються до Департамент</w:t>
      </w:r>
      <w:r w:rsidR="00552D9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у</w:t>
      </w:r>
      <w:r w:rsidR="002C53EF" w:rsidRPr="002C53E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економічного розвитку та зовнішньоекономічної діяльності Луганської обласної державної </w:t>
      </w:r>
      <w:r w:rsidR="002C53EF" w:rsidRPr="00CC5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адміністрації: е-mail: </w:t>
      </w:r>
      <w:hyperlink r:id="rId9" w:history="1">
        <w:r w:rsidR="002C53EF" w:rsidRPr="00CC53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economy@loga.gov.ua</w:t>
        </w:r>
      </w:hyperlink>
      <w:r w:rsidR="002C53EF" w:rsidRPr="00CC5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E2414" w:rsidRDefault="00205C9C" w:rsidP="00B64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color w:val="1D1D1B"/>
          <w:sz w:val="28"/>
          <w:szCs w:val="28"/>
          <w:lang w:val="uk-UA"/>
        </w:rPr>
      </w:pPr>
      <w:r w:rsidRPr="00180529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Відповідно до частин 5, 6 ст. 10 Закону України «Про стратегічну екологічну оцінку» строк подання зауважень і пропозицій становить 10 днів з дня оприлюднення Заяви про визначення обсягу стратегічної екологічної оцінки.</w:t>
      </w:r>
      <w:r w:rsidR="00B64E17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 </w:t>
      </w:r>
      <w:r w:rsidRPr="005E2414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Пропозиції і зауваження, що подані після встановленого терміну, не розглядаються.</w:t>
      </w:r>
    </w:p>
    <w:p w:rsidR="00205C9C" w:rsidRPr="00847BF1" w:rsidRDefault="00205C9C" w:rsidP="00205C9C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  <w:bookmarkStart w:id="0" w:name="_GoBack"/>
      <w:bookmarkEnd w:id="0"/>
    </w:p>
    <w:p w:rsidR="002D526C" w:rsidRPr="00180529" w:rsidRDefault="002D526C" w:rsidP="002D526C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180529">
        <w:rPr>
          <w:b/>
          <w:sz w:val="28"/>
          <w:szCs w:val="28"/>
          <w:lang w:val="uk-UA"/>
        </w:rPr>
        <w:t>Повідомлення про оприлюднення Заяви про визначення обсягу СЕО:</w:t>
      </w:r>
    </w:p>
    <w:p w:rsidR="002D526C" w:rsidRDefault="00847BF1" w:rsidP="002D526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47BF1">
        <w:rPr>
          <w:sz w:val="28"/>
          <w:szCs w:val="28"/>
          <w:lang w:val="uk-UA"/>
        </w:rPr>
        <w:t>Заяву оприлюднено на головній сторінці вебсайту Луганської облдержадміністрації в</w:t>
      </w:r>
      <w:r>
        <w:rPr>
          <w:sz w:val="28"/>
          <w:szCs w:val="28"/>
          <w:lang w:val="uk-UA"/>
        </w:rPr>
        <w:t xml:space="preserve"> </w:t>
      </w:r>
      <w:r w:rsidR="002D526C" w:rsidRPr="00180529">
        <w:rPr>
          <w:sz w:val="28"/>
          <w:szCs w:val="28"/>
          <w:lang w:val="uk-UA"/>
        </w:rPr>
        <w:t>розділ</w:t>
      </w:r>
      <w:r w:rsidR="0051535E">
        <w:rPr>
          <w:sz w:val="28"/>
          <w:szCs w:val="28"/>
          <w:lang w:val="uk-UA"/>
        </w:rPr>
        <w:t>і</w:t>
      </w:r>
      <w:r w:rsidR="002D526C" w:rsidRPr="001805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«Публічна інформація», </w:t>
      </w:r>
      <w:r w:rsidR="002D526C" w:rsidRPr="00180529">
        <w:rPr>
          <w:sz w:val="28"/>
          <w:szCs w:val="28"/>
          <w:lang w:val="uk-UA"/>
        </w:rPr>
        <w:t>підрозділ</w:t>
      </w:r>
      <w:r w:rsidR="0051535E">
        <w:rPr>
          <w:sz w:val="28"/>
          <w:szCs w:val="28"/>
          <w:lang w:val="uk-UA"/>
        </w:rPr>
        <w:t>і</w:t>
      </w:r>
      <w:r w:rsidR="002D526C" w:rsidRPr="00180529">
        <w:rPr>
          <w:sz w:val="28"/>
          <w:szCs w:val="28"/>
          <w:lang w:val="uk-UA"/>
        </w:rPr>
        <w:t xml:space="preserve"> «Проведення СЕО Програми економічного і соціального розвитку»</w:t>
      </w:r>
      <w:r w:rsidR="002D526C" w:rsidRPr="000F6E89">
        <w:rPr>
          <w:sz w:val="28"/>
          <w:szCs w:val="28"/>
          <w:lang w:val="uk-UA"/>
        </w:rPr>
        <w:t>.</w:t>
      </w:r>
    </w:p>
    <w:p w:rsidR="002D526C" w:rsidRPr="00847BF1" w:rsidRDefault="002D526C" w:rsidP="00F7442A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:rsidR="002D526C" w:rsidRPr="00180529" w:rsidRDefault="002D526C" w:rsidP="002D526C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180529">
        <w:rPr>
          <w:b/>
          <w:sz w:val="28"/>
          <w:szCs w:val="28"/>
          <w:lang w:val="uk-UA"/>
        </w:rPr>
        <w:t>Замовник/Уповноважена особа замовника:</w:t>
      </w:r>
    </w:p>
    <w:p w:rsidR="002D526C" w:rsidRPr="00180529" w:rsidRDefault="002D526C" w:rsidP="002D526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80529">
        <w:rPr>
          <w:sz w:val="28"/>
          <w:szCs w:val="28"/>
          <w:lang w:val="uk-UA"/>
        </w:rPr>
        <w:t>Департамент економічного розвитку та зовнішньоекономічної діяльності Луганської обласної державної адміністрації/</w:t>
      </w:r>
      <w:proofErr w:type="spellStart"/>
      <w:r w:rsidRPr="00180529">
        <w:rPr>
          <w:sz w:val="28"/>
          <w:szCs w:val="28"/>
          <w:lang w:val="uk-UA"/>
        </w:rPr>
        <w:t>Долинська</w:t>
      </w:r>
      <w:proofErr w:type="spellEnd"/>
      <w:r w:rsidRPr="00180529">
        <w:rPr>
          <w:sz w:val="28"/>
          <w:szCs w:val="28"/>
          <w:lang w:val="uk-UA"/>
        </w:rPr>
        <w:t xml:space="preserve"> Ганна Анатоліївна.</w:t>
      </w:r>
    </w:p>
    <w:p w:rsidR="0074791B" w:rsidRDefault="002D526C" w:rsidP="00205C9C">
      <w:pPr>
        <w:pStyle w:val="a4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lang w:val="uk-UA"/>
        </w:rPr>
      </w:pPr>
      <w:r w:rsidRPr="00180529">
        <w:rPr>
          <w:sz w:val="28"/>
          <w:szCs w:val="28"/>
          <w:lang w:val="uk-UA"/>
        </w:rPr>
        <w:t>Контактний телефон: 0953546627</w:t>
      </w:r>
      <w:r w:rsidR="00205C9C">
        <w:rPr>
          <w:sz w:val="28"/>
          <w:szCs w:val="28"/>
          <w:lang w:val="uk-UA"/>
        </w:rPr>
        <w:t>.</w:t>
      </w:r>
    </w:p>
    <w:p w:rsidR="00F7442A" w:rsidRPr="00B64E17" w:rsidRDefault="00F7442A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</w:p>
    <w:p w:rsidR="00F7442A" w:rsidRPr="00B64E17" w:rsidRDefault="00F7442A" w:rsidP="00F744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D1B"/>
          <w:sz w:val="24"/>
          <w:szCs w:val="24"/>
          <w:lang w:val="uk-UA" w:eastAsia="ru-RU"/>
        </w:rPr>
      </w:pPr>
    </w:p>
    <w:p w:rsidR="005E2414" w:rsidRPr="005E2414" w:rsidRDefault="00B4496B" w:rsidP="00F74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52D9B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="005E2414" w:rsidRPr="005E2414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</w:t>
      </w:r>
    </w:p>
    <w:p w:rsidR="005E2414" w:rsidRPr="005E2414" w:rsidRDefault="005E2414" w:rsidP="00F74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414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розвитку та </w:t>
      </w:r>
    </w:p>
    <w:p w:rsidR="009A7A91" w:rsidRPr="00917BC2" w:rsidRDefault="005E2414" w:rsidP="00F74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414">
        <w:rPr>
          <w:rFonts w:ascii="Times New Roman" w:hAnsi="Times New Roman" w:cs="Times New Roman"/>
          <w:sz w:val="28"/>
          <w:szCs w:val="28"/>
          <w:lang w:val="uk-UA"/>
        </w:rPr>
        <w:t>зовнішньоекономічної діяльності</w:t>
      </w:r>
      <w:r w:rsidRPr="005E24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24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24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24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496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4496B">
        <w:rPr>
          <w:rFonts w:ascii="Times New Roman" w:hAnsi="Times New Roman" w:cs="Times New Roman"/>
          <w:b/>
          <w:sz w:val="28"/>
          <w:szCs w:val="28"/>
          <w:lang w:val="uk-UA"/>
        </w:rPr>
        <w:t>Ігор КУДЕНКО</w:t>
      </w:r>
    </w:p>
    <w:sectPr w:rsidR="009A7A91" w:rsidRPr="00917BC2" w:rsidSect="00847BF1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F9" w:rsidRDefault="00130CF9" w:rsidP="00F7442A">
      <w:pPr>
        <w:spacing w:after="0" w:line="240" w:lineRule="auto"/>
      </w:pPr>
      <w:r>
        <w:separator/>
      </w:r>
    </w:p>
  </w:endnote>
  <w:endnote w:type="continuationSeparator" w:id="0">
    <w:p w:rsidR="00130CF9" w:rsidRDefault="00130CF9" w:rsidP="00F7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F9" w:rsidRDefault="00130CF9" w:rsidP="00F7442A">
      <w:pPr>
        <w:spacing w:after="0" w:line="240" w:lineRule="auto"/>
      </w:pPr>
      <w:r>
        <w:separator/>
      </w:r>
    </w:p>
  </w:footnote>
  <w:footnote w:type="continuationSeparator" w:id="0">
    <w:p w:rsidR="00130CF9" w:rsidRDefault="00130CF9" w:rsidP="00F7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339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7442A" w:rsidRPr="00F7442A" w:rsidRDefault="00F7442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744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44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44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53E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744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442A" w:rsidRDefault="00F744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E2BBB"/>
    <w:multiLevelType w:val="multilevel"/>
    <w:tmpl w:val="C5E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76D27"/>
    <w:multiLevelType w:val="multilevel"/>
    <w:tmpl w:val="670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1B"/>
    <w:rsid w:val="00083F79"/>
    <w:rsid w:val="000D7EC1"/>
    <w:rsid w:val="000F6E89"/>
    <w:rsid w:val="00130CF9"/>
    <w:rsid w:val="00154B6E"/>
    <w:rsid w:val="001D147C"/>
    <w:rsid w:val="001D5008"/>
    <w:rsid w:val="001D744E"/>
    <w:rsid w:val="002039F4"/>
    <w:rsid w:val="00205C9C"/>
    <w:rsid w:val="00206BE7"/>
    <w:rsid w:val="0027393B"/>
    <w:rsid w:val="002959EA"/>
    <w:rsid w:val="002C53EF"/>
    <w:rsid w:val="002C5471"/>
    <w:rsid w:val="002D526C"/>
    <w:rsid w:val="003075DB"/>
    <w:rsid w:val="00337846"/>
    <w:rsid w:val="00342433"/>
    <w:rsid w:val="00382832"/>
    <w:rsid w:val="003E0867"/>
    <w:rsid w:val="003E42DF"/>
    <w:rsid w:val="0040484E"/>
    <w:rsid w:val="004810AC"/>
    <w:rsid w:val="004D1302"/>
    <w:rsid w:val="0051535E"/>
    <w:rsid w:val="005266CA"/>
    <w:rsid w:val="00542BAC"/>
    <w:rsid w:val="00552D9B"/>
    <w:rsid w:val="0056652D"/>
    <w:rsid w:val="0056729D"/>
    <w:rsid w:val="005764E4"/>
    <w:rsid w:val="005A4E7E"/>
    <w:rsid w:val="005E2414"/>
    <w:rsid w:val="005E3947"/>
    <w:rsid w:val="00611CCF"/>
    <w:rsid w:val="00681BA8"/>
    <w:rsid w:val="00686004"/>
    <w:rsid w:val="00691E9A"/>
    <w:rsid w:val="006B121E"/>
    <w:rsid w:val="006C0437"/>
    <w:rsid w:val="0074791B"/>
    <w:rsid w:val="00772A47"/>
    <w:rsid w:val="00786169"/>
    <w:rsid w:val="007A1C6C"/>
    <w:rsid w:val="007D644A"/>
    <w:rsid w:val="00802C70"/>
    <w:rsid w:val="00847BF1"/>
    <w:rsid w:val="008528C9"/>
    <w:rsid w:val="008C349C"/>
    <w:rsid w:val="00917BC2"/>
    <w:rsid w:val="00937A58"/>
    <w:rsid w:val="009A7A91"/>
    <w:rsid w:val="009E3DAB"/>
    <w:rsid w:val="009E4EE3"/>
    <w:rsid w:val="009F3793"/>
    <w:rsid w:val="00A50C6A"/>
    <w:rsid w:val="00A6208E"/>
    <w:rsid w:val="00A626AE"/>
    <w:rsid w:val="00AD1578"/>
    <w:rsid w:val="00B05C3E"/>
    <w:rsid w:val="00B35CEA"/>
    <w:rsid w:val="00B4496B"/>
    <w:rsid w:val="00B64E17"/>
    <w:rsid w:val="00B84DE7"/>
    <w:rsid w:val="00C03309"/>
    <w:rsid w:val="00C269EB"/>
    <w:rsid w:val="00C70394"/>
    <w:rsid w:val="00CA7D33"/>
    <w:rsid w:val="00CC53E5"/>
    <w:rsid w:val="00D04BEE"/>
    <w:rsid w:val="00D348B5"/>
    <w:rsid w:val="00D479FA"/>
    <w:rsid w:val="00D47E22"/>
    <w:rsid w:val="00D9611F"/>
    <w:rsid w:val="00DC5620"/>
    <w:rsid w:val="00E17208"/>
    <w:rsid w:val="00E2337B"/>
    <w:rsid w:val="00E65D82"/>
    <w:rsid w:val="00ED01B4"/>
    <w:rsid w:val="00F025B0"/>
    <w:rsid w:val="00F50A51"/>
    <w:rsid w:val="00F51657"/>
    <w:rsid w:val="00F67AF2"/>
    <w:rsid w:val="00F7442A"/>
    <w:rsid w:val="00FA2042"/>
    <w:rsid w:val="00FE6E88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479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791B"/>
    <w:rPr>
      <w:b/>
      <w:bCs/>
    </w:rPr>
  </w:style>
  <w:style w:type="character" w:styleId="a6">
    <w:name w:val="Emphasis"/>
    <w:basedOn w:val="a0"/>
    <w:uiPriority w:val="20"/>
    <w:qFormat/>
    <w:rsid w:val="0074791B"/>
    <w:rPr>
      <w:i/>
      <w:iCs/>
    </w:rPr>
  </w:style>
  <w:style w:type="character" w:customStyle="1" w:styleId="link-addition-info">
    <w:name w:val="link-addition-info"/>
    <w:basedOn w:val="a0"/>
    <w:rsid w:val="0074791B"/>
  </w:style>
  <w:style w:type="table" w:styleId="a7">
    <w:name w:val="Table Grid"/>
    <w:basedOn w:val="a1"/>
    <w:uiPriority w:val="59"/>
    <w:rsid w:val="00B8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74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442A"/>
  </w:style>
  <w:style w:type="paragraph" w:styleId="aa">
    <w:name w:val="footer"/>
    <w:basedOn w:val="a"/>
    <w:link w:val="ab"/>
    <w:uiPriority w:val="99"/>
    <w:unhideWhenUsed/>
    <w:rsid w:val="00F74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4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479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791B"/>
    <w:rPr>
      <w:b/>
      <w:bCs/>
    </w:rPr>
  </w:style>
  <w:style w:type="character" w:styleId="a6">
    <w:name w:val="Emphasis"/>
    <w:basedOn w:val="a0"/>
    <w:uiPriority w:val="20"/>
    <w:qFormat/>
    <w:rsid w:val="0074791B"/>
    <w:rPr>
      <w:i/>
      <w:iCs/>
    </w:rPr>
  </w:style>
  <w:style w:type="character" w:customStyle="1" w:styleId="link-addition-info">
    <w:name w:val="link-addition-info"/>
    <w:basedOn w:val="a0"/>
    <w:rsid w:val="0074791B"/>
  </w:style>
  <w:style w:type="table" w:styleId="a7">
    <w:name w:val="Table Grid"/>
    <w:basedOn w:val="a1"/>
    <w:uiPriority w:val="59"/>
    <w:rsid w:val="00B8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74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442A"/>
  </w:style>
  <w:style w:type="paragraph" w:styleId="aa">
    <w:name w:val="footer"/>
    <w:basedOn w:val="a"/>
    <w:link w:val="ab"/>
    <w:uiPriority w:val="99"/>
    <w:unhideWhenUsed/>
    <w:rsid w:val="00F74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2568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6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52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4842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2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y@log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5239F-2313-4464-87B7-043315AB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47</cp:revision>
  <cp:lastPrinted>2023-07-11T11:59:00Z</cp:lastPrinted>
  <dcterms:created xsi:type="dcterms:W3CDTF">2023-07-11T06:52:00Z</dcterms:created>
  <dcterms:modified xsi:type="dcterms:W3CDTF">2025-12-01T16:34:00Z</dcterms:modified>
</cp:coreProperties>
</file>