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91FD0" w:rsidRPr="00E91FD0" w:rsidTr="00E91FD0">
        <w:tc>
          <w:tcPr>
            <w:tcW w:w="5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B9566" wp14:editId="08FF2E05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FD0" w:rsidRPr="00E91FD0" w:rsidTr="00E91FD0">
        <w:tc>
          <w:tcPr>
            <w:tcW w:w="5000" w:type="pct"/>
            <w:hideMark/>
          </w:tcPr>
          <w:p w:rsidR="00E91FD0" w:rsidRPr="00E91FD0" w:rsidRDefault="00E91FD0" w:rsidP="00E91FD0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КАБІНЕТ МІНІСТРІВ УКРАЇНИ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  <w:t>ПОСТАНОВА</w:t>
            </w:r>
          </w:p>
        </w:tc>
      </w:tr>
      <w:tr w:rsidR="00E91FD0" w:rsidRPr="00E91FD0" w:rsidTr="00E91FD0">
        <w:tc>
          <w:tcPr>
            <w:tcW w:w="5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 2 травня 2023 р. № 430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Київ</w:t>
            </w:r>
          </w:p>
        </w:tc>
      </w:tr>
    </w:tbl>
    <w:p w:rsidR="00E91FD0" w:rsidRPr="00E91FD0" w:rsidRDefault="00E91FD0" w:rsidP="00E91FD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n3"/>
      <w:bookmarkEnd w:id="0"/>
      <w:r w:rsidRPr="00E91F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Про затвердження Порядку ведення Єдиного реєстру стратегічної екологічної оцінки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" w:name="n4"/>
      <w:bookmarkEnd w:id="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Відповідно до </w:t>
      </w:r>
      <w:hyperlink r:id="rId6" w:anchor="n301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частини четвертої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статті 9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uk-UA" w:eastAsia="ru-RU"/>
        </w:rPr>
        <w:t>-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uk-UA" w:eastAsia="ru-RU"/>
        </w:rPr>
        <w:t>1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 України “Про стратегічну екологічну оцінку” Кабінет Міністрів України 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val="uk-UA" w:eastAsia="ru-RU"/>
        </w:rPr>
        <w:t>постановляє: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" w:name="n5"/>
      <w:bookmarkEnd w:id="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Затвердити </w:t>
      </w:r>
      <w:hyperlink r:id="rId7" w:anchor="n10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Порядок ведення Єдиного реєстру стратегічної екологічної оцінки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що додається.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" w:name="n6"/>
      <w:bookmarkEnd w:id="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Внести до </w:t>
      </w:r>
      <w:hyperlink r:id="rId8" w:anchor="n10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Порядку здійснення моніторингу наслідків виконання документа державного планування для довкілля, у тому числі для здоров’я населення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затвердженого постановою Кабінету Міністрів України від 16 грудня 2020 р. № 1272 (Офіційний вісник України, 2021 р., № 1, ст. 38), зміни, що додаються.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" w:name="n7"/>
      <w:bookmarkEnd w:id="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Ця постанова набирає чинності з 19 травня 2023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6747"/>
      </w:tblGrid>
      <w:tr w:rsidR="00E91FD0" w:rsidRPr="00E91FD0" w:rsidTr="00E91FD0">
        <w:tc>
          <w:tcPr>
            <w:tcW w:w="1500" w:type="pct"/>
            <w:hideMark/>
          </w:tcPr>
          <w:p w:rsidR="00E91FD0" w:rsidRPr="00E91FD0" w:rsidRDefault="00E91FD0" w:rsidP="00E91FD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8"/>
            <w:bookmarkEnd w:id="5"/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E91FD0" w:rsidRPr="00E91FD0" w:rsidRDefault="00E91FD0" w:rsidP="00E91FD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Д. ШМИГАЛЬ</w:t>
            </w:r>
          </w:p>
        </w:tc>
      </w:tr>
      <w:tr w:rsidR="00E91FD0" w:rsidRPr="00E91FD0" w:rsidTr="00E91FD0">
        <w:tc>
          <w:tcPr>
            <w:tcW w:w="0" w:type="auto"/>
            <w:hideMark/>
          </w:tcPr>
          <w:p w:rsidR="00E91FD0" w:rsidRPr="00E91FD0" w:rsidRDefault="00E91FD0" w:rsidP="00E91FD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Інд. 75</w:t>
            </w:r>
          </w:p>
        </w:tc>
        <w:tc>
          <w:tcPr>
            <w:tcW w:w="0" w:type="auto"/>
            <w:hideMark/>
          </w:tcPr>
          <w:p w:rsidR="00E91FD0" w:rsidRPr="00E91FD0" w:rsidRDefault="00E91FD0" w:rsidP="00E91FD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</w:tr>
    </w:tbl>
    <w:p w:rsidR="00E91FD0" w:rsidRPr="00E91FD0" w:rsidRDefault="00D82221" w:rsidP="00E9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E91FD0" w:rsidRPr="00E91FD0" w:rsidTr="00E91FD0">
        <w:tc>
          <w:tcPr>
            <w:tcW w:w="2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n80"/>
            <w:bookmarkStart w:id="7" w:name="n9"/>
            <w:bookmarkEnd w:id="6"/>
            <w:bookmarkEnd w:id="7"/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постановою Кабінету Міністрів України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 2 травня 2023 р. № 430</w:t>
            </w:r>
          </w:p>
        </w:tc>
      </w:tr>
    </w:tbl>
    <w:p w:rsidR="00E91FD0" w:rsidRPr="00E91FD0" w:rsidRDefault="00E91FD0" w:rsidP="00E91FD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8" w:name="n10"/>
      <w:bookmarkEnd w:id="8"/>
      <w:r w:rsidRPr="00E91F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ПОРЯДОК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ведення Єдиного реєстру стратегічної екологічної оцінки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9" w:name="n11"/>
      <w:bookmarkEnd w:id="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Цей Порядок визначає процедуру ведення Єдиного реєстру стратегічної екологічної оцінки (далі - Реєстр).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0" w:name="n12"/>
      <w:bookmarkEnd w:id="1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Терміни, що вживаються у цьому Порядку, мають таке значення: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1" w:name="n13"/>
      <w:bookmarkEnd w:id="1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електронний кабінет користувача - компонент Реєстру, який створюється для забезпечення електронної взаємодії між суб’єктами стратегічної екологічної оцінки, подання 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та опрацювання документації замовниками документів державного планування та органами, які здійснюють консультації;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14"/>
      <w:bookmarkEnd w:id="1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об’єкти Реєстру - інформація про здійснені процедури стратегічної екологічної оцінки;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3" w:name="n15"/>
      <w:bookmarkEnd w:id="1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органи, які здійснюють консультації, -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Міндовкілля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МОЗ, обласні, Київська та Севастопольська міські держадміністрації (відповідні підрозділи з питань охорони навколишнього природного середовища та охорони здоров’я), орган виконавчої влади Автономної Республіки Крим з питань охорони навколишнього природного середовища та орган виконавчої влади Автономної Республіки Крим з питань охорони здоров’я;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4" w:name="n16"/>
      <w:bookmarkEnd w:id="1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публічні реєстратори - посадові особи органів виконавчої влади та органів місцевого самоврядування;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5" w:name="n17"/>
      <w:bookmarkEnd w:id="1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Реєстр - це єдина інформаційно-комунікаційна система, що забезпечує створення, перегляд, збирання, внесення, накопичення, обробку, використання, розгляд, зберігання, захист, облік та надання інформації у сфері стратегічної екологічної оцінки. Реєстр є функціональним модулем Єдиної екологічної платформи “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ЕкоСистема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”, призначеним для офіційного оприлюднення документації щодо стратегічної екологічної оцінки, забезпечення інформування суб’єктів стратегічної екологічної оцінки та інших заінтересованих сторін про хід та результати здійснення стратегічної екологічної оцінки.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6" w:name="n18"/>
      <w:bookmarkEnd w:id="1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Інші терміни у цьому Порядку вживаються у значенні, наведеному в </w:t>
      </w:r>
      <w:hyperlink r:id="rId9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Законі України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“Про стратегічну екологічну оцінку” (далі - Закон) та </w:t>
      </w:r>
      <w:hyperlink r:id="rId10" w:anchor="n13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Положенні про Єдину екологічну платформу “</w:t>
        </w:r>
        <w:proofErr w:type="spellStart"/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ЕкоСистема</w:t>
        </w:r>
        <w:proofErr w:type="spellEnd"/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”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затвердженому постановою Кабінету Міністрів України від 11 жовтня 2021 р. № 1065 (Офіційний вісник України, 2021 р., № 82, ст. 5264).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7" w:name="n19"/>
      <w:bookmarkEnd w:id="1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Реєстр ведеться для забезпечення: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8" w:name="n20"/>
      <w:bookmarkEnd w:id="1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доступу суб’єктів стратегічної екологічної оцінки до актуальної інформації про здійснення стратегічної екологічної оцінки (нормативно-правові акти, методичне забезпечення, довідкова інформація);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9" w:name="n21"/>
      <w:bookmarkEnd w:id="1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електронної взаємодії між суб’єктами стратегічної екологічної оцінки, подання та опрацювання відомостей замовниками документів державного планування та органами, які здійснюють консультації, через електронний кабінет користувача;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0" w:name="n22"/>
      <w:bookmarkEnd w:id="2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здійснення консультацій у порядку, передбаченому </w:t>
      </w:r>
      <w:hyperlink r:id="rId11" w:anchor="n11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статтями 12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і </w:t>
      </w:r>
      <w:hyperlink r:id="rId12" w:anchor="n138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13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Закону, транскордонних консультацій у порядку, передбаченому </w:t>
      </w:r>
      <w:hyperlink r:id="rId13" w:anchor="n14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статтями 14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і </w:t>
      </w:r>
      <w:hyperlink r:id="rId14" w:anchor="n158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15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1" w:name="n23"/>
      <w:bookmarkEnd w:id="2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вільного доступу усіх заінтересованих сторін до інформації про стратегічну екологічну оцінку документів державного планування;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2" w:name="n24"/>
      <w:bookmarkEnd w:id="2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проведення громадського обговорення у процесі стратегічної екологічної оцінки та надання пропозицій та зауважень громадськості.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3" w:name="n25"/>
      <w:bookmarkEnd w:id="2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4. Держателем та адміністратором Реєстру, що забезпечує ведення Реєстру, а також відповідальним за технічне, технологічне та програмне забезпечення Реєстру, збереження та захист даних, що містяться у Реєстрі, є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Міндовкілля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Замовники та органи, які здійснюють консультації, мають доступ до Реєстру з правом внесення відомостей відповідно до своїх повноважень.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4" w:name="n26"/>
      <w:bookmarkEnd w:id="2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 Функціонування Реєстру забезпечує сумісність та електронну інформаційну взаємодію у режимі реального часу з іншими державними електронними реєстрами, у тому числі Державним земельним кадастром, Єдиним реєстром з оцінки впливу на довкілля, містобудівним кадастром, іншими реєстрами та функціональними модулями інформаційно-комунікаційних систем, а також інтеграцію з системою електронної взаємодії державних електронних інформаційних ресурсів “Трембіта” та іншими інформаційними системами.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5" w:name="n27"/>
      <w:bookmarkEnd w:id="2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6. Ведення Реєстру та внесення до нього відповідних відомостей здійснюється державною мовою та іноземною мовою, якщо відомості підготовлені під час транскордонних консультацій.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6" w:name="n28"/>
      <w:bookmarkEnd w:id="2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 Програмне забезпечення Реєстру повинне забезпечувати розподільне зберігання даних (інформації), метаданих документів та відомостей, що внесені до Реєстру, з метою підтвердження їх походження, цілісності та достовірності. Програмне забезпечення Реєстру передбачає неможливість виправлень вже внесеної інформації або документів. У разі необхідності внесення змін виправлена інформація вноситься додатково замовниками та органами, які здійснюють консультації, відповідно до вимог цього Порядку.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7" w:name="n29"/>
      <w:bookmarkEnd w:id="2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8. Реєстр складається з електронних баз даних, інформації та відомостей, створених та завантажених через електронний кабінет користувача.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8" w:name="n30"/>
      <w:bookmarkEnd w:id="2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9. Замовники та органи, які здійснюють консультації, забезпечують: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9" w:name="n31"/>
      <w:bookmarkEnd w:id="2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створення відповідного електронного кабінету користувача та визначення працівників, уповноважених вносити відомості до Реєстру, які є публічними реєстраторами;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0" w:name="n32"/>
      <w:bookmarkEnd w:id="3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створення через електронний кабінет користувача облікового запису шляхом внесення відповідних відомостей за визначеною в Реєстрі формою;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1" w:name="n33"/>
      <w:bookmarkEnd w:id="3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внесення через електронний кабінет користувача відомостей до Реєстру.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2" w:name="n34"/>
      <w:bookmarkEnd w:id="3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Доступ до електронного кабінету користувача здійснюється після проходження користувачами електронної ідентифікації та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автентифікації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 використанням інтегрованої системи електронної ідентифікації, електронного підпису, що базується на кваліфікованому сертифікаті відкритого ключа, або інших засобів електронної ідентифікації з високим або середнім рівнем довіри.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3" w:name="n35"/>
      <w:bookmarkEnd w:id="3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10. На документи, що вносяться до Реєстру замовниками та органами, які здійснюють консультації, накладається кваліфікований електронний підпис публічних реєстраторів.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4" w:name="n36"/>
      <w:bookmarkEnd w:id="3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11. Заява про визначення обсягу стратегічної екологічної оцінки та повідомлення про її оприлюднення вносяться замовником документа державного планування до Реєстру шляхом заповнення визначеної в Реєстрі форми та автоматичного перетворення інформації, наведеної в заяві про визначення обсягу стратегічної екологічної оцінки та повідомленні про її оприлюднення в Реєстрі, в електронний документ у форматі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Adobe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Portable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Document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Format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(PDF) програмними засобами Реєстру.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5" w:name="n37"/>
      <w:bookmarkEnd w:id="3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12. У разі внесення замовником до Реєстру заяви про визначення обсягу стратегічної екологічної оцінки та повідомлення про її оприлюднення у Реєстрі автоматично формується реєстраційна справа з присвоєнням їй програмними засобами ведення Реєстру реєстрового номера.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6" w:name="n38"/>
      <w:bookmarkEnd w:id="3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Усі наступні відомості, що стосуються стратегічної екологічної оцінки проекту документа державного планування, вносяться відповідно до зазначеного реєстрового номера справи.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7" w:name="n39"/>
      <w:bookmarkEnd w:id="3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реєстраційній справі зберігаються відомості щодо стратегічної екологічної оцінки, визначені </w:t>
      </w:r>
      <w:hyperlink r:id="rId15" w:anchor="n286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статтею 9</w:t>
        </w:r>
      </w:hyperlink>
      <w:hyperlink r:id="rId16" w:anchor="n286" w:tgtFrame="_blank" w:history="1">
        <w:r w:rsidRPr="00E91FD0">
          <w:rPr>
            <w:rFonts w:ascii="Times New Roman" w:eastAsia="Times New Roman" w:hAnsi="Times New Roman" w:cs="Times New Roman"/>
            <w:b/>
            <w:bCs/>
            <w:color w:val="0000FF"/>
            <w:sz w:val="2"/>
            <w:szCs w:val="2"/>
            <w:u w:val="single"/>
            <w:vertAlign w:val="superscript"/>
            <w:lang w:val="uk-UA" w:eastAsia="ru-RU"/>
          </w:rPr>
          <w:t>-</w:t>
        </w:r>
        <w:r w:rsidRPr="00E91FD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vertAlign w:val="superscript"/>
            <w:lang w:val="uk-UA" w:eastAsia="ru-RU"/>
          </w:rPr>
          <w:t>1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Закону, органів, які здійснюють консультації, щодо дати отримання графічних матеріалів містобудівної документації у паперовій формі (у разі здійснення стратегічної екологічної оцінки містобудівної документації) та про порушення Закону, які потребують усунення (у разі виявлення), а також інша документація, яка обґрунтовує або доповнює зауваження, пропозиції та рекомендації органів, які здійснюють консультації (у разі потреби).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8" w:name="n40"/>
      <w:bookmarkEnd w:id="3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13. Документи щодо стратегічної екологічної оцінки вносяться до Реєстру у форматі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Adobe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Portable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Document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Format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(PDF) і повинні відповідати таким вимогам: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9" w:name="n41"/>
      <w:bookmarkEnd w:id="3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бути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повнокольоровими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0" w:name="n42"/>
      <w:bookmarkEnd w:id="4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графічні матеріали зберігаються в окремих файлах в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машиночитаному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форматі;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1" w:name="n43"/>
      <w:bookmarkEnd w:id="4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текстові та табличні матеріали, які в оригіналі створені в паперовій формі, містять підписи та/або засвідчені печаткою, зберігаються як скановані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повнокольорові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зображення;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2" w:name="n44"/>
      <w:bookmarkEnd w:id="4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усі шрифти, що використовуються, повинні бути вбудовані у файл;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3" w:name="n45"/>
      <w:bookmarkEnd w:id="4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файли текстових документів повинні мати структуровану форму, зміст і посилання, що пов’язані з елементами структури, та забезпечувати копіювання тексту;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4" w:name="n46"/>
      <w:bookmarkEnd w:id="4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якість матеріалів повинна забезпечувати розбірливе читання їх змісту.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5" w:name="n47"/>
      <w:bookmarkEnd w:id="4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Проекти містобудівної документації на місцевому рівні в електронній формі вносяться замовниками до Реєстру відповідно до вимог </w:t>
      </w:r>
      <w:hyperlink r:id="rId17" w:anchor="n8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Порядку розроблення, оновлення, внесення змін та затвердження містобудівної документації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затвердженого постановою Кабінету Міністрів України від 1 вересня 2021 р. № 926 (Офіційний вісник України, 2021 р., № 72, ст. 4545), та у форматі відповідно до вимог постанови Кабінету Міністрів України від 9 червня 2021 р. </w:t>
      </w:r>
      <w:hyperlink r:id="rId18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632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“Про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території” (Офіційний вісник України, 2021 р., № 51, ст. 3152), крім випадків, встановлених Законом України від 17 червня 2020 р. </w:t>
      </w:r>
      <w:hyperlink r:id="rId19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711-IX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“Про внесення змін до деяких законодавчих актів України щодо планування використання земель”, а також з дотриманням відповідних будівельних норм.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6" w:name="n48"/>
      <w:bookmarkEnd w:id="4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14. Відомості про об’єкти Реєстру вносяться замовниками та органами, які здійснюють консультації, у строки, що відповідають вимогам </w:t>
      </w:r>
      <w:hyperlink r:id="rId20" w:anchor="n79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статей 10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 </w:t>
      </w:r>
      <w:hyperlink r:id="rId21" w:anchor="n11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12-16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Закону, а в інших випадках - не пізніше ніж протягом 20 днів з дня завершення відповідного етапу стратегічної екологічної оцінки.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7" w:name="n49"/>
      <w:bookmarkEnd w:id="4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 час ведення Реєстру матеріальні форми документів не створюються.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8" w:name="n50"/>
      <w:bookmarkEnd w:id="4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15. Замовник вносить до Реєстру відомості, зазначені у </w:t>
      </w:r>
      <w:hyperlink r:id="rId22" w:anchor="n291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частині третій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статті 9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uk-UA" w:eastAsia="ru-RU"/>
        </w:rPr>
        <w:t>-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uk-UA" w:eastAsia="ru-RU"/>
        </w:rPr>
        <w:t>1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49" w:name="n51"/>
      <w:bookmarkEnd w:id="4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 час внесення замовником до Реєстру відомостей, зазначених у </w:t>
      </w:r>
      <w:hyperlink r:id="rId23" w:anchor="n292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пунктах 1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 </w:t>
      </w:r>
      <w:hyperlink r:id="rId24" w:anchor="n293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2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 </w:t>
      </w:r>
      <w:hyperlink r:id="rId25" w:anchor="n296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5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 </w:t>
      </w:r>
      <w:hyperlink r:id="rId26" w:anchor="n29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6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частини третьої статті 9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uk-UA" w:eastAsia="ru-RU"/>
        </w:rPr>
        <w:t>-</w:t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uk-UA" w:eastAsia="ru-RU"/>
        </w:rPr>
        <w:t>1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Закону, програмні засоби ведення Реєстру автоматично створюють повідомлення, що надсилаються через електронний кабінет користувача органам, які здійснюють консультації. Такі повідомлення включають дату та час розміщення у Реєстрі відповідних відомостей і посилання на Реєстр для ознайомлення з ними.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0" w:name="n52"/>
      <w:bookmarkEnd w:id="5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16. Органи, які здійснюють консультації, вносять до Реєстру такі відомості: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1" w:name="n53"/>
      <w:bookmarkEnd w:id="5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зауваження і пропозиції органів виконавчої влади;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2" w:name="n54"/>
      <w:bookmarkEnd w:id="5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інформація про транскордонні консультації (у разі їх проведення);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3" w:name="n55"/>
      <w:bookmarkEnd w:id="5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рекомендації щодо необхідності здійснення стратегічної екологічної оцінки незначних змін до документа державного планування, щодо якого раніше здійснювалася стратегічна екологічна оцінка;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4" w:name="n56"/>
      <w:bookmarkEnd w:id="5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інформація про дату отримання графічних матеріалів містобудівної документації у паперовій формі (у разі здійснення стратегічної екологічної оцінки містобудівної документації);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5" w:name="n57"/>
      <w:bookmarkEnd w:id="5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інформація про порушення </w:t>
      </w:r>
      <w:hyperlink r:id="rId2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Закону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які потребують усунення (у разі наявності);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6" w:name="n58"/>
      <w:bookmarkEnd w:id="5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інша документація, яка обґрунтовує або доповнює зауваження, пропозиції та рекомендації органів виконавчої влади, які здійснюють консультації (у разі потреби).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7" w:name="n59"/>
      <w:bookmarkEnd w:id="5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 час внесення органами, які здійснюють консультації, до Реєстру відомостей, визначених цим пунктом, програмні засоби ведення Реєстру автоматично створюють повідомлення, що надсилаються через електронний кабінет користувача замовникам.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8" w:name="n60"/>
      <w:bookmarkEnd w:id="5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МОЗ, обласні, Київська та Севастопольська міські держадміністрації (відповідні підрозділи з питань охорони навколишнього природного середовища та охорони здоров’я), орган виконавчої влади Автономної Республіки Крим з питань охорони навколишнього природного середовища та орган виконавчої влади Автономної Республіки Крим з питань охорони здоров’я вносять до Реєстру інформацію про те, що виконання документа державного планування ймовірно матиме наслідки для довкілля, у тому числі для здоров’я населення. У такому разі повідомлення про внесення інформації також надсилаються через електронний кабінет користувача до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Міндовкілля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59" w:name="n61"/>
      <w:bookmarkEnd w:id="5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Повідомлення, які автоматично створюються програмними засобами ведення Реєстру, включають дату та час розміщення у Реєстрі відповідних відомостей і посилання на Реєстр для ознайомлення з ними.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0" w:name="n62"/>
      <w:bookmarkEnd w:id="6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17. Датою отримання документа органами, які здійснюють консультації, є дата, зазначена у повідомленні про його розміщення у Реєстрі, а у разі здійснення стратегічної екологічної оцінки містобудівної документації - дата отримання графічних матеріалів такої містобудівної документації у паперовій формі.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1" w:name="n63"/>
      <w:bookmarkEnd w:id="6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18. Документи щодо стратегічної екологічної оцінки зберігаються в Реєстрі у вільному доступі на період дії відповідного документа державного планування та протягом одного року після його закінчення чи втрати чинності або скасування документа державного планування.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2" w:name="n64"/>
      <w:bookmarkEnd w:id="62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Вилучення документів з Реєстру після завершення строків їх зберігання здійснюється автоматично за допомогою програмного забезпечення ведення Реєстру.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3" w:name="n65"/>
      <w:bookmarkEnd w:id="63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Вилучені з Реєстру документи можуть знищуватися або переноситися в електронний архів.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4" w:name="n66"/>
      <w:bookmarkEnd w:id="6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19. Відомості, внесені до Реєстру, є відкритими і публікуються у Реєстрі у прив’язці до реєстраційної справи щодо стратегічної екологічної оцінки з обов’язковим зазначенням дати офіційного оприлюднення такої інформації та документів у Реєстрі.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5" w:name="n67"/>
      <w:bookmarkEnd w:id="6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20. Власником Реєстру, у тому числі його програмно-технічних засобів та виключних майнових прав на його програмне забезпечення, є держава в особі держателя Реєстру.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6" w:name="n68"/>
      <w:bookmarkEnd w:id="6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21. Створення Реєстру, у тому числі його програмно-технічних засобів, здійснюється за рахунок коштів міжнародної технічної допомоги.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7" w:name="n69"/>
      <w:bookmarkEnd w:id="6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Фінансове забезпечення функціонування Реєстру здійснюється у рамках щорічних видатків на утримання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Міндовкілля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коштів міжнародної технічної допомоги та інших джерел, не заборонених законом.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8" w:name="n70"/>
      <w:bookmarkEnd w:id="6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22. Реєстр функціонує у цілодобовому режимі, крім випадків проведення планових та позапланових профілактичних та/або технічних робіт, пов’язаних з усуненням технічних та/або методологічних помилок чи технічного збою в роботі, тривалість проведення яких визначається технічним адміністратором Реєстру за умови згоди держателя Реєстру. Інформація про проведення профілактичних та/або технічних робіт з підтримки Реєстру оприлюднюється на офіційному веб-сайті технічного адміністратора Реєстру за три календарних дні до дати проведення таких робіт, крім випадків, коли через терміновість 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проведення таких робіт своєчасне попередження неможливе, про що надсилається відповідне повідомлення.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9" w:name="n71"/>
      <w:bookmarkEnd w:id="69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23. Користування Реєстром є безоплатним.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0" w:name="n72"/>
      <w:bookmarkEnd w:id="70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24. Обробка та захист персональних даних, інших реєстрових даних та інформації, інформування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правоволодільця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здійснюються відповідно до вимог </w:t>
      </w:r>
      <w:hyperlink r:id="rId28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Закону України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“Про захист персональних даних” та інших нормативно-правових актів у відповідній сфері.</w:t>
      </w:r>
    </w:p>
    <w:p w:rsidR="00E91FD0" w:rsidRPr="00E91FD0" w:rsidRDefault="00D82221" w:rsidP="00E9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6" style="width:0;height:0" o:hrstd="t" o:hrnoshade="t" o:hr="t" fillcolor="black" stroked="f"/>
        </w:pict>
      </w:r>
    </w:p>
    <w:p w:rsidR="00E91FD0" w:rsidRPr="00E91FD0" w:rsidRDefault="00E91FD0" w:rsidP="00E9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1" w:name="n81"/>
      <w:bookmarkEnd w:id="71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E91FD0" w:rsidRPr="00E91FD0" w:rsidTr="00E91FD0">
        <w:tc>
          <w:tcPr>
            <w:tcW w:w="2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2" w:name="n73"/>
            <w:bookmarkEnd w:id="72"/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000" w:type="pct"/>
            <w:hideMark/>
          </w:tcPr>
          <w:p w:rsidR="00E91FD0" w:rsidRPr="00E91FD0" w:rsidRDefault="00E91FD0" w:rsidP="00E91F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постановою Кабінету Міністрів України</w:t>
            </w:r>
            <w:r w:rsidRPr="00E91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91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 2 травня 2023 р. № 430</w:t>
            </w:r>
          </w:p>
        </w:tc>
      </w:tr>
    </w:tbl>
    <w:p w:rsidR="00E91FD0" w:rsidRPr="00E91FD0" w:rsidRDefault="00E91FD0" w:rsidP="00E91FD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3" w:name="n74"/>
      <w:bookmarkEnd w:id="73"/>
      <w:r w:rsidRPr="00E91F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ЗМІНИ,</w:t>
      </w:r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E91F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що вносяться до </w:t>
      </w:r>
      <w:hyperlink r:id="rId29" w:anchor="n10" w:tgtFrame="_blank" w:history="1">
        <w:r w:rsidRPr="00E91FD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uk-UA" w:eastAsia="ru-RU"/>
          </w:rPr>
          <w:t>Порядку здійснення моніторингу наслідків виконання документа державного планування для довкілля, у тому числі для здоров’я населення</w:t>
        </w:r>
      </w:hyperlink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4" w:name="n75"/>
      <w:bookmarkEnd w:id="74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1. </w:t>
      </w:r>
      <w:hyperlink r:id="rId30" w:anchor="n27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Пункт 7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викласти в такій редакції: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5" w:name="n76"/>
      <w:bookmarkEnd w:id="75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“7. Замовник протягом п’яти робочих днів з дня затвердження документа державного планування розміщує на своєму офіційному веб-сайті та вносить до Єдиного реєстру стратегічної екологічної оцінки затверджений документ державного планування (крім інформації, яка відповідно до закону становить державну таємницю або належить до інформації з обмеженим доступом), рішення про його затвердження, заходи, передбачені для здійснення моніторингу наслідків виконання документа державного планування, і письмово повідомляє про це </w:t>
      </w:r>
      <w:proofErr w:type="spellStart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Міндовкіллю</w:t>
      </w:r>
      <w:proofErr w:type="spellEnd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.”.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6" w:name="n77"/>
      <w:bookmarkEnd w:id="76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2. </w:t>
      </w:r>
      <w:hyperlink r:id="rId31" w:anchor="n30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Пункт 10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викласти в такій редакції: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7" w:name="n78"/>
      <w:bookmarkEnd w:id="77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“10. Результати моніторингу замовник оприлюднює на своєму офіційному веб-сайті та вносить до Єдиного реєстру стратегічної екологічної оцінки один раз на рік протягом строку дії документа державного планування та через рік після закінчення такого строку та у разі виявлення не передбачених звітом про стратегічну екологічну оцінку негативних наслідків для довкілля, у тому числі для здоров’я населення, вживає заходів для їх усунення.”.</w:t>
      </w:r>
    </w:p>
    <w:p w:rsidR="00E91FD0" w:rsidRPr="00E91FD0" w:rsidRDefault="00E91FD0" w:rsidP="00E91F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78" w:name="n79"/>
      <w:bookmarkEnd w:id="78"/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3. </w:t>
      </w:r>
      <w:hyperlink r:id="rId32" w:anchor="n31" w:tgtFrame="_blank" w:history="1">
        <w:r w:rsidRPr="00E91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Пункт 11</w:t>
        </w:r>
      </w:hyperlink>
      <w:r w:rsidRPr="00E91F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виключити.</w:t>
      </w:r>
    </w:p>
    <w:p w:rsidR="00D82221" w:rsidRDefault="00D82221" w:rsidP="00D82221">
      <w:pPr>
        <w:jc w:val="center"/>
        <w:rPr>
          <w:lang w:val="uk-UA"/>
        </w:rPr>
      </w:pPr>
    </w:p>
    <w:p w:rsidR="009A7A91" w:rsidRPr="00E91FD0" w:rsidRDefault="00D82221" w:rsidP="00D82221">
      <w:pPr>
        <w:jc w:val="center"/>
        <w:rPr>
          <w:lang w:val="uk-UA"/>
        </w:rPr>
      </w:pPr>
      <w:bookmarkStart w:id="79" w:name="_GoBack"/>
      <w:bookmarkEnd w:id="79"/>
      <w:r>
        <w:rPr>
          <w:lang w:val="uk-UA"/>
        </w:rPr>
        <w:t>______________________________________</w:t>
      </w:r>
    </w:p>
    <w:sectPr w:rsidR="009A7A91" w:rsidRPr="00E91FD0" w:rsidSect="00342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D0"/>
    <w:rsid w:val="00342433"/>
    <w:rsid w:val="009A7A91"/>
    <w:rsid w:val="00D82221"/>
    <w:rsid w:val="00E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91FD0"/>
  </w:style>
  <w:style w:type="character" w:customStyle="1" w:styleId="rvts64">
    <w:name w:val="rvts64"/>
    <w:basedOn w:val="a0"/>
    <w:rsid w:val="00E91FD0"/>
  </w:style>
  <w:style w:type="character" w:customStyle="1" w:styleId="rvts9">
    <w:name w:val="rvts9"/>
    <w:basedOn w:val="a0"/>
    <w:rsid w:val="00E91FD0"/>
  </w:style>
  <w:style w:type="paragraph" w:customStyle="1" w:styleId="rvps6">
    <w:name w:val="rvps6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1FD0"/>
    <w:rPr>
      <w:color w:val="0000FF"/>
      <w:u w:val="single"/>
    </w:rPr>
  </w:style>
  <w:style w:type="character" w:customStyle="1" w:styleId="rvts37">
    <w:name w:val="rvts37"/>
    <w:basedOn w:val="a0"/>
    <w:rsid w:val="00E91FD0"/>
  </w:style>
  <w:style w:type="character" w:customStyle="1" w:styleId="rvts52">
    <w:name w:val="rvts52"/>
    <w:basedOn w:val="a0"/>
    <w:rsid w:val="00E91FD0"/>
  </w:style>
  <w:style w:type="paragraph" w:customStyle="1" w:styleId="rvps4">
    <w:name w:val="rvps4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E91FD0"/>
  </w:style>
  <w:style w:type="paragraph" w:customStyle="1" w:styleId="rvps15">
    <w:name w:val="rvps15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91FD0"/>
  </w:style>
  <w:style w:type="character" w:customStyle="1" w:styleId="rvts64">
    <w:name w:val="rvts64"/>
    <w:basedOn w:val="a0"/>
    <w:rsid w:val="00E91FD0"/>
  </w:style>
  <w:style w:type="character" w:customStyle="1" w:styleId="rvts9">
    <w:name w:val="rvts9"/>
    <w:basedOn w:val="a0"/>
    <w:rsid w:val="00E91FD0"/>
  </w:style>
  <w:style w:type="paragraph" w:customStyle="1" w:styleId="rvps6">
    <w:name w:val="rvps6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1FD0"/>
    <w:rPr>
      <w:color w:val="0000FF"/>
      <w:u w:val="single"/>
    </w:rPr>
  </w:style>
  <w:style w:type="character" w:customStyle="1" w:styleId="rvts37">
    <w:name w:val="rvts37"/>
    <w:basedOn w:val="a0"/>
    <w:rsid w:val="00E91FD0"/>
  </w:style>
  <w:style w:type="character" w:customStyle="1" w:styleId="rvts52">
    <w:name w:val="rvts52"/>
    <w:basedOn w:val="a0"/>
    <w:rsid w:val="00E91FD0"/>
  </w:style>
  <w:style w:type="paragraph" w:customStyle="1" w:styleId="rvps4">
    <w:name w:val="rvps4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E91FD0"/>
  </w:style>
  <w:style w:type="paragraph" w:customStyle="1" w:styleId="rvps15">
    <w:name w:val="rvps15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72-2020-%D0%BF" TargetMode="External"/><Relationship Id="rId13" Type="http://schemas.openxmlformats.org/officeDocument/2006/relationships/hyperlink" Target="https://zakon.rada.gov.ua/laws/show/2354-19" TargetMode="External"/><Relationship Id="rId18" Type="http://schemas.openxmlformats.org/officeDocument/2006/relationships/hyperlink" Target="https://zakon.rada.gov.ua/laws/show/632-2021-%D0%BF" TargetMode="External"/><Relationship Id="rId26" Type="http://schemas.openxmlformats.org/officeDocument/2006/relationships/hyperlink" Target="https://zakon.rada.gov.ua/laws/show/2354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354-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on.rada.gov.ua/laws/show/430-2023-%D0%BF/print" TargetMode="External"/><Relationship Id="rId12" Type="http://schemas.openxmlformats.org/officeDocument/2006/relationships/hyperlink" Target="https://zakon.rada.gov.ua/laws/show/2354-19" TargetMode="External"/><Relationship Id="rId17" Type="http://schemas.openxmlformats.org/officeDocument/2006/relationships/hyperlink" Target="https://zakon.rada.gov.ua/laws/show/926-2021-%D0%BF" TargetMode="External"/><Relationship Id="rId25" Type="http://schemas.openxmlformats.org/officeDocument/2006/relationships/hyperlink" Target="https://zakon.rada.gov.ua/laws/show/2354-1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354-19" TargetMode="External"/><Relationship Id="rId20" Type="http://schemas.openxmlformats.org/officeDocument/2006/relationships/hyperlink" Target="https://zakon.rada.gov.ua/laws/show/2354-19" TargetMode="External"/><Relationship Id="rId29" Type="http://schemas.openxmlformats.org/officeDocument/2006/relationships/hyperlink" Target="https://zakon.rada.gov.ua/laws/show/1272-2020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54-19" TargetMode="External"/><Relationship Id="rId11" Type="http://schemas.openxmlformats.org/officeDocument/2006/relationships/hyperlink" Target="https://zakon.rada.gov.ua/laws/show/2354-19" TargetMode="External"/><Relationship Id="rId24" Type="http://schemas.openxmlformats.org/officeDocument/2006/relationships/hyperlink" Target="https://zakon.rada.gov.ua/laws/show/2354-19" TargetMode="External"/><Relationship Id="rId32" Type="http://schemas.openxmlformats.org/officeDocument/2006/relationships/hyperlink" Target="https://zakon.rada.gov.ua/laws/show/1272-2020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354-19" TargetMode="External"/><Relationship Id="rId23" Type="http://schemas.openxmlformats.org/officeDocument/2006/relationships/hyperlink" Target="https://zakon.rada.gov.ua/laws/show/2354-19" TargetMode="External"/><Relationship Id="rId28" Type="http://schemas.openxmlformats.org/officeDocument/2006/relationships/hyperlink" Target="https://zakon.rada.gov.ua/laws/show/2297-17" TargetMode="External"/><Relationship Id="rId10" Type="http://schemas.openxmlformats.org/officeDocument/2006/relationships/hyperlink" Target="https://zakon.rada.gov.ua/laws/show/1065-2021-%D0%BF" TargetMode="External"/><Relationship Id="rId19" Type="http://schemas.openxmlformats.org/officeDocument/2006/relationships/hyperlink" Target="https://zakon.rada.gov.ua/laws/show/711-20" TargetMode="External"/><Relationship Id="rId31" Type="http://schemas.openxmlformats.org/officeDocument/2006/relationships/hyperlink" Target="https://zakon.rada.gov.ua/laws/show/1272-202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54-19" TargetMode="External"/><Relationship Id="rId14" Type="http://schemas.openxmlformats.org/officeDocument/2006/relationships/hyperlink" Target="https://zakon.rada.gov.ua/laws/show/2354-19" TargetMode="External"/><Relationship Id="rId22" Type="http://schemas.openxmlformats.org/officeDocument/2006/relationships/hyperlink" Target="https://zakon.rada.gov.ua/laws/show/2354-19" TargetMode="External"/><Relationship Id="rId27" Type="http://schemas.openxmlformats.org/officeDocument/2006/relationships/hyperlink" Target="https://zakon.rada.gov.ua/laws/show/2354-19" TargetMode="External"/><Relationship Id="rId30" Type="http://schemas.openxmlformats.org/officeDocument/2006/relationships/hyperlink" Target="https://zakon.rada.gov.ua/laws/show/1272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2023-06-12T06:43:00Z</dcterms:created>
  <dcterms:modified xsi:type="dcterms:W3CDTF">2023-06-12T06:46:00Z</dcterms:modified>
</cp:coreProperties>
</file>