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E90C" w14:textId="649FE3AA" w:rsidR="00480C66" w:rsidRDefault="00AD7947" w:rsidP="0085730D">
      <w:pPr>
        <w:tabs>
          <w:tab w:val="left" w:pos="8805"/>
          <w:tab w:val="left" w:pos="10170"/>
          <w:tab w:val="left" w:pos="11085"/>
          <w:tab w:val="left" w:pos="11565"/>
          <w:tab w:val="left" w:pos="12045"/>
          <w:tab w:val="left" w:pos="12675"/>
          <w:tab w:val="right" w:pos="15735"/>
        </w:tabs>
        <w:ind w:left="-14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C349DE" wp14:editId="4FFA11C7">
            <wp:simplePos x="0" y="0"/>
            <wp:positionH relativeFrom="column">
              <wp:posOffset>5145405</wp:posOffset>
            </wp:positionH>
            <wp:positionV relativeFrom="paragraph">
              <wp:posOffset>67310</wp:posOffset>
            </wp:positionV>
            <wp:extent cx="4705350" cy="2933700"/>
            <wp:effectExtent l="0" t="0" r="0" b="0"/>
            <wp:wrapNone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C66">
        <w:rPr>
          <w:noProof/>
        </w:rPr>
        <w:drawing>
          <wp:inline distT="0" distB="0" distL="0" distR="0" wp14:anchorId="1EDE4327" wp14:editId="47B538D2">
            <wp:extent cx="4937760" cy="3048000"/>
            <wp:effectExtent l="0" t="0" r="1524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5730D">
        <w:tab/>
      </w:r>
      <w:r w:rsidR="0085730D">
        <w:tab/>
      </w:r>
      <w:r w:rsidR="0085730D">
        <w:tab/>
      </w:r>
      <w:r w:rsidR="0085730D">
        <w:tab/>
      </w:r>
      <w:r w:rsidR="0085730D">
        <w:tab/>
      </w:r>
    </w:p>
    <w:p w14:paraId="41761662" w14:textId="4778AACA" w:rsidR="0074357D" w:rsidRDefault="002E627F" w:rsidP="0074357D">
      <w:pPr>
        <w:ind w:left="-142"/>
      </w:pPr>
      <w:r>
        <w:rPr>
          <w:noProof/>
        </w:rPr>
        <w:drawing>
          <wp:inline distT="0" distB="0" distL="0" distR="0" wp14:anchorId="7B3CD934" wp14:editId="3CBFD343">
            <wp:extent cx="9992299" cy="3922005"/>
            <wp:effectExtent l="0" t="0" r="9525" b="254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D7A9633" w14:textId="33F2A141" w:rsidR="0078045F" w:rsidRDefault="0078045F" w:rsidP="0074357D">
      <w:pPr>
        <w:ind w:left="-14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A79E2DD" wp14:editId="54438F19">
            <wp:simplePos x="0" y="0"/>
            <wp:positionH relativeFrom="margin">
              <wp:posOffset>-1905</wp:posOffset>
            </wp:positionH>
            <wp:positionV relativeFrom="paragraph">
              <wp:posOffset>139065</wp:posOffset>
            </wp:positionV>
            <wp:extent cx="9906000" cy="687705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045F" w:rsidSect="002E627F">
      <w:pgSz w:w="16838" w:h="11906" w:orient="landscape"/>
      <w:pgMar w:top="284" w:right="53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E"/>
    <w:rsid w:val="001E1818"/>
    <w:rsid w:val="00226BB6"/>
    <w:rsid w:val="00246B7B"/>
    <w:rsid w:val="002B4CD7"/>
    <w:rsid w:val="002E627F"/>
    <w:rsid w:val="003C79EE"/>
    <w:rsid w:val="00480C66"/>
    <w:rsid w:val="00510A77"/>
    <w:rsid w:val="00524CA1"/>
    <w:rsid w:val="006D3771"/>
    <w:rsid w:val="0074357D"/>
    <w:rsid w:val="0078045F"/>
    <w:rsid w:val="00852500"/>
    <w:rsid w:val="0085730D"/>
    <w:rsid w:val="008779B3"/>
    <w:rsid w:val="0088075B"/>
    <w:rsid w:val="009B094C"/>
    <w:rsid w:val="00A42641"/>
    <w:rsid w:val="00AD7947"/>
    <w:rsid w:val="00B05C59"/>
    <w:rsid w:val="00B31584"/>
    <w:rsid w:val="00B6087A"/>
    <w:rsid w:val="00B90DED"/>
    <w:rsid w:val="00C12450"/>
    <w:rsid w:val="00CA1DE1"/>
    <w:rsid w:val="00CF0467"/>
    <w:rsid w:val="00D673F1"/>
    <w:rsid w:val="00D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D938"/>
  <w15:chartTrackingRefBased/>
  <w15:docId w15:val="{1CC965C7-CE4E-4836-B172-44E673B1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надіслано</a:t>
            </a:r>
            <a:r>
              <a:rPr lang="uk-UA" baseline="0"/>
              <a:t> за </a:t>
            </a:r>
            <a:r>
              <a:rPr lang="en-US" baseline="0"/>
              <a:t>IV</a:t>
            </a:r>
            <a:r>
              <a:rPr lang="uk-UA" baseline="0"/>
              <a:t> квартал 2021 року </a:t>
            </a:r>
          </a:p>
          <a:p>
            <a:pPr>
              <a:defRPr/>
            </a:pPr>
            <a:r>
              <a:rPr lang="uk-UA" baseline="0"/>
              <a:t>на розгляд </a:t>
            </a:r>
            <a:r>
              <a:rPr lang="en-US" baseline="0"/>
              <a:t>4043</a:t>
            </a:r>
            <a:r>
              <a:rPr lang="uk-UA" baseline="0"/>
              <a:t> звернень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2.1953265016184904E-2"/>
          <c:y val="0.18343046365324067"/>
          <c:w val="0.45805925635442363"/>
          <c:h val="0.77494282172599838"/>
        </c:manualLayout>
      </c:layout>
      <c:doughnutChart>
        <c:varyColors val="1"/>
        <c:ser>
          <c:idx val="0"/>
          <c:order val="0"/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6D-435E-8ACC-E8DCDE8C3B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06D-435E-8ACC-E8DCDE8C3B48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06D-435E-8ACC-E8DCDE8C3B48}"/>
              </c:ext>
            </c:extLst>
          </c:dPt>
          <c:dLbls>
            <c:dLbl>
              <c:idx val="0"/>
              <c:layout>
                <c:manualLayout>
                  <c:x val="-0.15960853071503714"/>
                  <c:y val="-0.1490866482598766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BB40B1-DB53-4020-B557-68C61494C051}" type="PERCENTAGE">
                      <a:rPr lang="en-US" sz="1200"/>
                      <a:pPr>
                        <a:defRPr sz="1200"/>
                      </a:pPr>
                      <a:t>[ПРОЦЕНТ]</a:t>
                    </a:fld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>
                  <a:glow>
                    <a:sysClr val="windowText" lastClr="000000"/>
                  </a:glo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5.0886850152905193E-2"/>
                      <c:h val="6.499642090193269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06D-435E-8ACC-E8DCDE8C3B48}"/>
                </c:ext>
              </c:extLst>
            </c:dLbl>
            <c:dLbl>
              <c:idx val="1"/>
              <c:layout>
                <c:manualLayout>
                  <c:x val="0.19047619047619047"/>
                  <c:y val="-5.764966740576497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>
                  <a:glow>
                    <a:sysClr val="windowText" lastClr="000000"/>
                  </a:glo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3.6906946264744424E-2"/>
                      <c:h val="5.61272413010457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06D-435E-8ACC-E8DCDE8C3B48}"/>
                </c:ext>
              </c:extLst>
            </c:dLbl>
            <c:dLbl>
              <c:idx val="2"/>
              <c:layout>
                <c:manualLayout>
                  <c:x val="-9.8733071210135415E-2"/>
                  <c:y val="0.12026165243756948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>
                  <a:glow>
                    <a:sysClr val="windowText" lastClr="000000"/>
                  </a:glo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4097859327217135E-2"/>
                      <c:h val="5.90838672882076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06D-435E-8ACC-E8DCDE8C3B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>
                <a:glow rad="127000">
                  <a:sysClr val="windowText" lastClr="000000"/>
                </a:glow>
              </a:effectLst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Лист1!$A$12:$A$14</c:f>
              <c:strCache>
                <c:ptCount val="3"/>
                <c:pt idx="0">
                  <c:v>Підприємства</c:v>
                </c:pt>
                <c:pt idx="1">
                  <c:v>Структурні підрозідли облдержадміністрції</c:v>
                </c:pt>
                <c:pt idx="2">
                  <c:v>Місцеві органи виконавчої влади та місцевого самоврядуварння</c:v>
                </c:pt>
              </c:strCache>
            </c:strRef>
          </c:cat>
          <c:val>
            <c:numRef>
              <c:f>Лист1!$B$12:$B$14</c:f>
              <c:numCache>
                <c:formatCode>General</c:formatCode>
                <c:ptCount val="3"/>
                <c:pt idx="0">
                  <c:v>399</c:v>
                </c:pt>
                <c:pt idx="1">
                  <c:v>153</c:v>
                </c:pt>
                <c:pt idx="2">
                  <c:v>3491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6D-435E-8ACC-E8DCDE8C3B4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.55919615552643076"/>
          <c:y val="0.35046458438814881"/>
          <c:w val="0.39247974737102814"/>
          <c:h val="0.543767256365681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cap="all" baseline="0">
                <a:effectLst/>
              </a:rPr>
              <a:t>Всього ЗА </a:t>
            </a:r>
            <a:r>
              <a:rPr lang="en-US" sz="1400" b="1" i="0" cap="all" baseline="0">
                <a:effectLst/>
              </a:rPr>
              <a:t>IV</a:t>
            </a:r>
            <a:r>
              <a:rPr lang="uk-UA" sz="1400" b="1" i="0" cap="all" baseline="0">
                <a:effectLst/>
              </a:rPr>
              <a:t> квартал 2021 року</a:t>
            </a:r>
            <a:r>
              <a:rPr lang="en-US" sz="1400" b="1" i="0" cap="all" baseline="0">
                <a:effectLst/>
              </a:rPr>
              <a:t> </a:t>
            </a:r>
            <a:r>
              <a:rPr lang="ru-RU" sz="1400" b="1" i="0" cap="all" baseline="0">
                <a:effectLst/>
              </a:rPr>
              <a:t>НАДІЙШЛО </a:t>
            </a:r>
            <a:r>
              <a:rPr lang="uk-UA" sz="1400" b="1" i="0" u="none" strike="noStrike" baseline="0">
                <a:effectLst/>
              </a:rPr>
              <a:t>5063</a:t>
            </a:r>
            <a:r>
              <a:rPr lang="uk-UA" sz="1400" b="1" i="0" cap="all" baseline="0">
                <a:effectLst/>
              </a:rPr>
              <a:t> </a:t>
            </a:r>
            <a:r>
              <a:rPr lang="ru-RU" sz="1400" b="1" i="0" cap="all" baseline="0">
                <a:effectLst/>
              </a:rPr>
              <a:t>звернень</a:t>
            </a:r>
            <a:endParaRPr lang="ru-RU" sz="14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277758758416066E-2"/>
          <c:y val="0.24255858059236371"/>
          <c:w val="0.81388888888888888"/>
          <c:h val="0.64767096821230674"/>
        </c:manualLayout>
      </c:layout>
      <c:ofPieChart>
        <c:ofPieType val="pie"/>
        <c:varyColors val="1"/>
        <c:ser>
          <c:idx val="0"/>
          <c:order val="0"/>
          <c:spPr>
            <a:ln>
              <a:noFill/>
            </a:ln>
          </c:spPr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8774-40B1-B837-FCAB5255161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8774-40B1-B837-FCAB5255161A}"/>
              </c:ext>
            </c:extLst>
          </c:dPt>
          <c:dLbls>
            <c:dLbl>
              <c:idx val="0"/>
              <c:layout>
                <c:manualLayout>
                  <c:x val="3.1920118680817074E-2"/>
                  <c:y val="-0.26208103655092907"/>
                </c:manualLayout>
              </c:layout>
              <c:tx>
                <c:rich>
                  <a:bodyPr/>
                  <a:lstStyle/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Урядова «гаряча лінія»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3579</a:t>
                    </a:r>
                    <a:endParaRPr lang="uk-UA" sz="800" b="1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13052607554486"/>
                      <c:h val="0.3058684054534677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8774-40B1-B837-FCAB5255161A}"/>
                </c:ext>
              </c:extLst>
            </c:dLbl>
            <c:dLbl>
              <c:idx val="1"/>
              <c:layout>
                <c:manualLayout>
                  <c:x val="0.26087905968275699"/>
                  <c:y val="0.10429593603704103"/>
                </c:manualLayout>
              </c:layout>
              <c:tx>
                <c:rich>
                  <a:bodyPr/>
                  <a:lstStyle/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«гаряча лінія» облдержадміністрації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1484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(464 звернень,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1020 консультації)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61999315303"/>
                      <c:h val="0.4149377593360996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774-40B1-B837-FCAB5255161A}"/>
                </c:ext>
              </c:extLst>
            </c:dLbl>
            <c:dLbl>
              <c:idx val="2"/>
              <c:layout>
                <c:manualLayout>
                  <c:x val="-0.39640232796987335"/>
                  <c:y val="0.35374011858476184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8774-40B1-B837-FCAB5255161A}"/>
                </c:ext>
              </c:extLst>
            </c:dLbl>
            <c:spPr>
              <a:solidFill>
                <a:schemeClr val="bg1"/>
              </a:solidFill>
              <a:ln>
                <a:solidFill>
                  <a:srgbClr val="0070C0"/>
                </a:solidFill>
              </a:ln>
            </c:spPr>
            <c:txPr>
              <a:bodyPr/>
              <a:lstStyle/>
              <a:p>
                <a:pPr>
                  <a:defRPr sz="800">
                    <a:solidFill>
                      <a:srgbClr val="0070C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</c:ext>
            </c:extLst>
          </c:dLbls>
          <c:cat>
            <c:strRef>
              <c:f>Лист1!$A$1:$A$2</c:f>
              <c:strCache>
                <c:ptCount val="2"/>
                <c:pt idx="0">
                  <c:v>Урядова «гаряча лінія»</c:v>
                </c:pt>
                <c:pt idx="1">
                  <c:v>«гаряча лінія» облдержадміністрації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3579</c:v>
                </c:pt>
                <c:pt idx="1">
                  <c:v>1126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74-40B1-B837-FCAB5255161A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uk-UA" sz="1600" b="1" i="0" baseline="0">
                <a:effectLst/>
              </a:rPr>
              <a:t>ГЕОГРАФІЧНИЙ РОЗПОДІЛ ЗВЕРНЕНЬ, НАДІСЛАНИХ НА РОЗГЛЯД У </a:t>
            </a:r>
            <a:r>
              <a:rPr lang="en-US" sz="1600" b="1" i="0" baseline="0">
                <a:effectLst/>
              </a:rPr>
              <a:t>IV</a:t>
            </a:r>
            <a:r>
              <a:rPr lang="uk-UA" sz="1600" b="1" i="0" baseline="0">
                <a:effectLst/>
              </a:rPr>
              <a:t> КВАРТАЛІ 2021 РОКУ </a:t>
            </a:r>
            <a:endParaRPr lang="ru-RU" sz="1600">
              <a:effectLst/>
            </a:endParaRPr>
          </a:p>
        </c:rich>
      </c:tx>
      <c:layout>
        <c:manualLayout>
          <c:xMode val="edge"/>
          <c:yMode val="edge"/>
          <c:x val="0.1071115347950429"/>
          <c:y val="2.590673575129533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Сєвєродонецький район*</c:v>
                </c:pt>
                <c:pt idx="4">
                  <c:v>Сватівський район</c:v>
                </c:pt>
                <c:pt idx="5">
                  <c:v>Старобільський район</c:v>
                </c:pt>
                <c:pt idx="6">
                  <c:v>Щастинський район</c:v>
                </c:pt>
                <c:pt idx="7">
                  <c:v>Луганська область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739</c:v>
                </c:pt>
                <c:pt idx="1">
                  <c:v>271</c:v>
                </c:pt>
                <c:pt idx="2">
                  <c:v>1567</c:v>
                </c:pt>
                <c:pt idx="3">
                  <c:v>375</c:v>
                </c:pt>
                <c:pt idx="4">
                  <c:v>361</c:v>
                </c:pt>
                <c:pt idx="5">
                  <c:v>317</c:v>
                </c:pt>
                <c:pt idx="6">
                  <c:v>378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2-4CBC-84EE-B15BF7337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647616"/>
        <c:axId val="199649152"/>
      </c:barChart>
      <c:catAx>
        <c:axId val="199647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9649152"/>
        <c:crosses val="autoZero"/>
        <c:auto val="1"/>
        <c:lblAlgn val="ctr"/>
        <c:lblOffset val="100"/>
        <c:noMultiLvlLbl val="0"/>
      </c:catAx>
      <c:valAx>
        <c:axId val="19964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647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ТЕМАТИЧНИЙ РОЗПОДІЛ ЗВЕРНЕНЬ, НАДІСЛАНИХ НА РОЗГЛЯД У </a:t>
            </a:r>
            <a:r>
              <a:rPr lang="en-US"/>
              <a:t>IV </a:t>
            </a:r>
            <a:r>
              <a:rPr lang="uk-UA"/>
              <a:t>КВАРТАЛІ 2021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8E4-46A0-A2F4-0A1AB9E2006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8E4-46A0-A2F4-0A1AB9E2006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8E4-46A0-A2F4-0A1AB9E2006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8E4-46A0-A2F4-0A1AB9E2006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8E4-46A0-A2F4-0A1AB9E2006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88E4-46A0-A2F4-0A1AB9E2006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88E4-46A0-A2F4-0A1AB9E2006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88E4-46A0-A2F4-0A1AB9E2006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88E4-46A0-A2F4-0A1AB9E20069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88E4-46A0-A2F4-0A1AB9E20069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88E4-46A0-A2F4-0A1AB9E20069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88E4-46A0-A2F4-0A1AB9E20069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88E4-46A0-A2F4-0A1AB9E20069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88E4-46A0-A2F4-0A1AB9E20069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88E4-46A0-A2F4-0A1AB9E20069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88E4-46A0-A2F4-0A1AB9E20069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88E4-46A0-A2F4-0A1AB9E20069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3-88E4-46A0-A2F4-0A1AB9E20069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5-88E4-46A0-A2F4-0A1AB9E20069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88E4-46A0-A2F4-0A1AB9E20069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9-88E4-46A0-A2F4-0A1AB9E20069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B-88E4-46A0-A2F4-0A1AB9E20069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D-88E4-46A0-A2F4-0A1AB9E20069}"/>
              </c:ext>
            </c:extLst>
          </c:dPt>
          <c:dLbls>
            <c:dLbl>
              <c:idx val="0"/>
              <c:layout>
                <c:manualLayout>
                  <c:x val="3.4041187159297395E-2"/>
                  <c:y val="3.042002021215483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E4-46A0-A2F4-0A1AB9E20069}"/>
                </c:ext>
              </c:extLst>
            </c:dLbl>
            <c:dLbl>
              <c:idx val="1"/>
              <c:layout>
                <c:manualLayout>
                  <c:x val="1.0535332121946295E-2"/>
                  <c:y val="5.9095106186518934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E4-46A0-A2F4-0A1AB9E20069}"/>
                </c:ext>
              </c:extLst>
            </c:dLbl>
            <c:dLbl>
              <c:idx val="2"/>
              <c:layout>
                <c:manualLayout>
                  <c:x val="-2.4378760347264283E-2"/>
                  <c:y val="-4.58448026406671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E4-46A0-A2F4-0A1AB9E20069}"/>
                </c:ext>
              </c:extLst>
            </c:dLbl>
            <c:dLbl>
              <c:idx val="3"/>
              <c:layout>
                <c:manualLayout>
                  <c:x val="1.2002826569755703E-3"/>
                  <c:y val="-4.44357682436510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E4-46A0-A2F4-0A1AB9E20069}"/>
                </c:ext>
              </c:extLst>
            </c:dLbl>
            <c:dLbl>
              <c:idx val="4"/>
              <c:layout>
                <c:manualLayout>
                  <c:x val="-3.3718655360387831E-2"/>
                  <c:y val="-7.14240844548171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E4-46A0-A2F4-0A1AB9E20069}"/>
                </c:ext>
              </c:extLst>
            </c:dLbl>
            <c:dLbl>
              <c:idx val="5"/>
              <c:layout>
                <c:manualLayout>
                  <c:x val="3.1994195437108824E-2"/>
                  <c:y val="-3.96385077904043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583383807793252E-2"/>
                      <c:h val="3.50600911728139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8E4-46A0-A2F4-0A1AB9E20069}"/>
                </c:ext>
              </c:extLst>
            </c:dLbl>
            <c:dLbl>
              <c:idx val="6"/>
              <c:layout>
                <c:manualLayout>
                  <c:x val="5.0608721986674741E-3"/>
                  <c:y val="-5.11360248943951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8E4-46A0-A2F4-0A1AB9E20069}"/>
                </c:ext>
              </c:extLst>
            </c:dLbl>
            <c:dLbl>
              <c:idx val="7"/>
              <c:layout>
                <c:manualLayout>
                  <c:x val="1.91279022814454E-2"/>
                  <c:y val="-1.36354977788441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8E4-46A0-A2F4-0A1AB9E20069}"/>
                </c:ext>
              </c:extLst>
            </c:dLbl>
            <c:dLbl>
              <c:idx val="8"/>
              <c:layout>
                <c:manualLayout>
                  <c:x val="3.5192206743387848E-2"/>
                  <c:y val="2.82547022342429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8E4-46A0-A2F4-0A1AB9E20069}"/>
                </c:ext>
              </c:extLst>
            </c:dLbl>
            <c:dLbl>
              <c:idx val="9"/>
              <c:layout>
                <c:manualLayout>
                  <c:x val="5.6109327680193825E-2"/>
                  <c:y val="-1.15975600002909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8E4-46A0-A2F4-0A1AB9E20069}"/>
                </c:ext>
              </c:extLst>
            </c:dLbl>
            <c:dLbl>
              <c:idx val="10"/>
              <c:layout>
                <c:manualLayout>
                  <c:x val="-2.7466989703210171E-2"/>
                  <c:y val="5.89668535200412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8E4-46A0-A2F4-0A1AB9E20069}"/>
                </c:ext>
              </c:extLst>
            </c:dLbl>
            <c:dLbl>
              <c:idx val="11"/>
              <c:layout>
                <c:manualLayout>
                  <c:x val="-3.1160407833636185E-2"/>
                  <c:y val="2.66848430649769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8E4-46A0-A2F4-0A1AB9E20069}"/>
                </c:ext>
              </c:extLst>
            </c:dLbl>
            <c:dLbl>
              <c:idx val="12"/>
              <c:layout>
                <c:manualLayout>
                  <c:x val="-8.980819705229166E-3"/>
                  <c:y val="6.826328149424527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8E4-46A0-A2F4-0A1AB9E20069}"/>
                </c:ext>
              </c:extLst>
            </c:dLbl>
            <c:dLbl>
              <c:idx val="13"/>
              <c:layout>
                <c:manualLayout>
                  <c:x val="-1.9766505148394911E-2"/>
                  <c:y val="1.38034476992315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8E4-46A0-A2F4-0A1AB9E20069}"/>
                </c:ext>
              </c:extLst>
            </c:dLbl>
            <c:dLbl>
              <c:idx val="14"/>
              <c:layout>
                <c:manualLayout>
                  <c:x val="-3.3821825156470829E-2"/>
                  <c:y val="5.4202455994939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8E4-46A0-A2F4-0A1AB9E20069}"/>
                </c:ext>
              </c:extLst>
            </c:dLbl>
            <c:dLbl>
              <c:idx val="15"/>
              <c:layout>
                <c:manualLayout>
                  <c:x val="-1.7169190389662879E-2"/>
                  <c:y val="3.047178659454258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8E4-46A0-A2F4-0A1AB9E20069}"/>
                </c:ext>
              </c:extLst>
            </c:dLbl>
            <c:dLbl>
              <c:idx val="16"/>
              <c:layout>
                <c:manualLayout>
                  <c:x val="1.5642640823743163E-2"/>
                  <c:y val="1.81734900865923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8E4-46A0-A2F4-0A1AB9E20069}"/>
                </c:ext>
              </c:extLst>
            </c:dLbl>
            <c:dLbl>
              <c:idx val="17"/>
              <c:layout>
                <c:manualLayout>
                  <c:x val="-5.8227185544114698E-2"/>
                  <c:y val="6.67008382954900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019281243690683E-2"/>
                      <c:h val="3.13666470361564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88E4-46A0-A2F4-0A1AB9E20069}"/>
                </c:ext>
              </c:extLst>
            </c:dLbl>
            <c:dLbl>
              <c:idx val="18"/>
              <c:layout>
                <c:manualLayout>
                  <c:x val="-2.7061762207260354E-2"/>
                  <c:y val="-7.85438523785634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8E4-46A0-A2F4-0A1AB9E20069}"/>
                </c:ext>
              </c:extLst>
            </c:dLbl>
            <c:dLbl>
              <c:idx val="20"/>
              <c:layout>
                <c:manualLayout>
                  <c:x val="-3.2011003432263277E-2"/>
                  <c:y val="-2.18478853578205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8E4-46A0-A2F4-0A1AB9E20069}"/>
                </c:ext>
              </c:extLst>
            </c:dLbl>
            <c:dLbl>
              <c:idx val="21"/>
              <c:layout>
                <c:manualLayout>
                  <c:x val="-1.7313547345043409E-2"/>
                  <c:y val="-3.156731447350253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8E4-46A0-A2F4-0A1AB9E20069}"/>
                </c:ext>
              </c:extLst>
            </c:dLbl>
            <c:dLbl>
              <c:idx val="22"/>
              <c:layout>
                <c:manualLayout>
                  <c:x val="-1.5118715929739599E-2"/>
                  <c:y val="2.780261885546846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88E4-46A0-A2F4-0A1AB9E200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Аграрна політика та земельні відносини</c:v>
                </c:pt>
                <c:pt idx="1">
                  <c:v>Будівництво та благоустрій</c:v>
                </c:pt>
                <c:pt idx="2">
                  <c:v>Діяльність ОВВ, ОМС, посадових осіб</c:v>
                </c:pt>
                <c:pt idx="3">
                  <c:v>Діяльність підприємств на установ</c:v>
                </c:pt>
                <c:pt idx="4">
                  <c:v>Дотримання законності</c:v>
                </c:pt>
                <c:pt idx="5">
                  <c:v>Екологія та природні ресурси</c:v>
                </c:pt>
                <c:pt idx="6">
                  <c:v>Житлова політика</c:v>
                </c:pt>
                <c:pt idx="7">
                  <c:v>Зайнятість, безробіття </c:v>
                </c:pt>
                <c:pt idx="8">
                  <c:v>Інформаційна політика</c:v>
                </c:pt>
                <c:pt idx="9">
                  <c:v>Комунальне господарство</c:v>
                </c:pt>
                <c:pt idx="10">
                  <c:v>Коронавірус</c:v>
                </c:pt>
                <c:pt idx="11">
                  <c:v>Культура, мовна політика</c:v>
                </c:pt>
                <c:pt idx="12">
                  <c:v>Міграція, громадянство, паспортизація</c:v>
                </c:pt>
                <c:pt idx="13">
                  <c:v>Надзвичайні ситуації</c:v>
                </c:pt>
                <c:pt idx="14">
                  <c:v>Оплата, умови праці, трудові відносини</c:v>
                </c:pt>
                <c:pt idx="15">
                  <c:v>Освіта, наука, інтелектуальна власність</c:v>
                </c:pt>
                <c:pt idx="16">
                  <c:v>Охорона здоров’я</c:v>
                </c:pt>
                <c:pt idx="17">
                  <c:v>Пенсійне забезпечення</c:v>
                </c:pt>
                <c:pt idx="18">
                  <c:v>Подяка</c:v>
                </c:pt>
                <c:pt idx="19">
                  <c:v>Работа органів юстиції</c:v>
                </c:pt>
                <c:pt idx="20">
                  <c:v>Транспортне обслуговування</c:v>
                </c:pt>
                <c:pt idx="21">
                  <c:v>Функціонування мереж зв’язку </c:v>
                </c:pt>
                <c:pt idx="22">
                  <c:v>Інше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67</c:v>
                </c:pt>
                <c:pt idx="1">
                  <c:v>340</c:v>
                </c:pt>
                <c:pt idx="2">
                  <c:v>157</c:v>
                </c:pt>
                <c:pt idx="3">
                  <c:v>42</c:v>
                </c:pt>
                <c:pt idx="4">
                  <c:v>17</c:v>
                </c:pt>
                <c:pt idx="5">
                  <c:v>14</c:v>
                </c:pt>
                <c:pt idx="6">
                  <c:v>11</c:v>
                </c:pt>
                <c:pt idx="7">
                  <c:v>3</c:v>
                </c:pt>
                <c:pt idx="8">
                  <c:v>4</c:v>
                </c:pt>
                <c:pt idx="9">
                  <c:v>1505</c:v>
                </c:pt>
                <c:pt idx="10">
                  <c:v>165</c:v>
                </c:pt>
                <c:pt idx="11">
                  <c:v>59</c:v>
                </c:pt>
                <c:pt idx="12">
                  <c:v>10</c:v>
                </c:pt>
                <c:pt idx="13">
                  <c:v>8</c:v>
                </c:pt>
                <c:pt idx="14">
                  <c:v>24</c:v>
                </c:pt>
                <c:pt idx="15">
                  <c:v>123</c:v>
                </c:pt>
                <c:pt idx="16">
                  <c:v>320</c:v>
                </c:pt>
                <c:pt idx="17">
                  <c:v>3</c:v>
                </c:pt>
                <c:pt idx="18">
                  <c:v>54</c:v>
                </c:pt>
                <c:pt idx="19">
                  <c:v>13</c:v>
                </c:pt>
                <c:pt idx="20">
                  <c:v>49</c:v>
                </c:pt>
                <c:pt idx="21">
                  <c:v>26</c:v>
                </c:pt>
                <c:pt idx="22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88E4-46A0-A2F4-0A1AB9E2006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dcterms:created xsi:type="dcterms:W3CDTF">2021-07-09T11:09:00Z</dcterms:created>
  <dcterms:modified xsi:type="dcterms:W3CDTF">2022-01-14T07:24:00Z</dcterms:modified>
</cp:coreProperties>
</file>